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r>
        <w:pict>
          <v:shape type="#_x0000_t75" stroked="f" style="width:83.149606299213pt; height:91.086614173228pt; margin-left:0pt; margin-top:0pt; position:absolute; mso-position-horizontal:left; mso-position-vertical:top; mso-position-horizontal-relative:margin; mso-position-vertical-relative:line;">
            <w10:wrap type="square" anchorx="page" anchory="page"/>
            <v:imagedata r:id="rId7" o:title=""/>
          </v:shape>
        </w:pict>
      </w:r>
      <w:r>
        <w:pict>
          <v:shape type="#_x0000_t75" stroked="f" style="width:67.275590551181pt; height:120.18897637795pt; margin-left:0pt; margin-top:0pt; position:absolute; mso-position-horizontal:right; mso-position-vertical:top; mso-position-horizontal-relative:margin; mso-position-vertical-relative:line;">
            <w10:wrap type="square" anchorx="page" anchory="page"/>
            <v:imagedata r:id="rId8" o:title=""/>
          </v:shape>
        </w:pict>
      </w:r>
    </w:p>
    <w:p>
      <w:pPr>
        <w:jc w:val="center"/>
      </w:pPr>
      <w:r>
        <w:rPr>
          <w:sz w:val="28"/>
          <w:szCs w:val="28"/>
        </w:rPr>
        <w:t xml:space="preserve">2025</w:t>
      </w:r>
    </w:p>
    <w:p>
      <w:pPr>
        <w:jc w:val="center"/>
      </w:pPr>
      <w:r>
        <w:rPr>
          <w:sz w:val="28"/>
          <w:szCs w:val="28"/>
        </w:rPr>
        <w:t xml:space="preserve">Project Implementation Report (PIR)</w:t>
      </w:r>
    </w:p>
    <w:p>
      <w:pPr/>
      <w:r>
        <w:rPr/>
        <w:t xml:space="preserve"/>
      </w:r>
    </w:p>
    <w:p>
      <w:pPr/>
      <w:r>
        <w:rPr/>
        <w:t xml:space="preserve"/>
      </w:r>
    </w:p>
    <w:p>
      <w:pPr/>
      <w:r>
        <w:rPr/>
        <w:t xml:space="preserve"/>
      </w:r>
    </w:p>
    <w:p>
      <w:pPr>
        <w:jc w:val="center"/>
      </w:pPr>
      <w:r>
        <w:rPr>
          <w:sz w:val="28"/>
          <w:szCs w:val="28"/>
          <w:b w:val="1"/>
          <w:bCs w:val="1"/>
        </w:rPr>
        <w:t xml:space="preserve">EE Low Cost Wooden Houses</w:t>
      </w:r>
    </w:p>
    <w:p>
      <w:pPr>
        <w:tabs>
          <w:tab w:val="right" w:leader="dot" w:pos="9062"/>
        </w:tabs>
      </w:pPr>
      <w:r>
        <w:fldChar w:fldCharType="begin"/>
      </w:r>
      <w:r>
        <w:instrText xml:space="preserve">TOC \o 1-1 \h \z \u</w:instrText>
      </w:r>
      <w:r>
        <w:fldChar w:fldCharType="separate"/>
      </w:r>
      <w:hyperlink w:anchor="_Toc0" w:history="1">
        <w:r>
          <w:t>Basic Data</w:t>
        </w:r>
        <w:r>
          <w:tab/>
        </w:r>
        <w:r>
          <w:fldChar w:fldCharType="begin"/>
        </w:r>
        <w:r>
          <w:instrText xml:space="preserve">PAGEREF 0 \h</w:instrText>
        </w:r>
        <w:r>
          <w:fldChar w:fldCharType="end"/>
        </w:r>
      </w:hyperlink>
    </w:p>
    <w:p>
      <w:pPr>
        <w:tabs>
          <w:tab w:val="right" w:leader="dot" w:pos="9062"/>
        </w:tabs>
      </w:pPr>
      <w:hyperlink w:anchor="_Toc1" w:history="1">
        <w:r>
          <w:t>Key project dates</w:t>
        </w:r>
        <w:r>
          <w:tab/>
        </w:r>
        <w:r>
          <w:fldChar w:fldCharType="begin"/>
        </w:r>
        <w:r>
          <w:instrText xml:space="preserve">PAGEREF 1 \h</w:instrText>
        </w:r>
        <w:r>
          <w:fldChar w:fldCharType="end"/>
        </w:r>
      </w:hyperlink>
    </w:p>
    <w:p>
      <w:pPr>
        <w:tabs>
          <w:tab w:val="right" w:leader="dot" w:pos="9062"/>
        </w:tabs>
      </w:pPr>
      <w:hyperlink w:anchor="_Toc2" w:history="1">
        <w:r>
          <w:t>Overall ratings</w:t>
        </w:r>
        <w:r>
          <w:tab/>
        </w:r>
        <w:r>
          <w:fldChar w:fldCharType="begin"/>
        </w:r>
        <w:r>
          <w:instrText xml:space="preserve">PAGEREF 2 \h</w:instrText>
        </w:r>
        <w:r>
          <w:fldChar w:fldCharType="end"/>
        </w:r>
      </w:hyperlink>
    </w:p>
    <w:p>
      <w:pPr>
        <w:tabs>
          <w:tab w:val="right" w:leader="dot" w:pos="9062"/>
        </w:tabs>
      </w:pPr>
      <w:hyperlink w:anchor="_Toc3" w:history="1">
        <w:r>
          <w:t>Development Objective Progress</w:t>
        </w:r>
        <w:r>
          <w:tab/>
        </w:r>
        <w:r>
          <w:fldChar w:fldCharType="begin"/>
        </w:r>
        <w:r>
          <w:instrText xml:space="preserve">PAGEREF 3 \h</w:instrText>
        </w:r>
        <w:r>
          <w:fldChar w:fldCharType="end"/>
        </w:r>
      </w:hyperlink>
    </w:p>
    <w:p>
      <w:pPr>
        <w:tabs>
          <w:tab w:val="right" w:leader="dot" w:pos="9062"/>
        </w:tabs>
      </w:pPr>
      <w:hyperlink w:anchor="_Toc5" w:history="1">
        <w:r>
          <w:t>Finance/Co-Finance</w:t>
        </w:r>
        <w:r>
          <w:tab/>
        </w:r>
        <w:r>
          <w:fldChar w:fldCharType="begin"/>
        </w:r>
        <w:r>
          <w:instrText xml:space="preserve">PAGEREF 5 \h</w:instrText>
        </w:r>
        <w:r>
          <w:fldChar w:fldCharType="end"/>
        </w:r>
      </w:hyperlink>
    </w:p>
    <w:p>
      <w:pPr>
        <w:tabs>
          <w:tab w:val="right" w:leader="dot" w:pos="9062"/>
        </w:tabs>
      </w:pPr>
      <w:hyperlink w:anchor="_Toc7" w:history="1">
        <w:r>
          <w:t>Implementation Progress</w:t>
        </w:r>
        <w:r>
          <w:tab/>
        </w:r>
        <w:r>
          <w:fldChar w:fldCharType="begin"/>
        </w:r>
        <w:r>
          <w:instrText xml:space="preserve">PAGEREF 7 \h</w:instrText>
        </w:r>
        <w:r>
          <w:fldChar w:fldCharType="end"/>
        </w:r>
      </w:hyperlink>
    </w:p>
    <w:p>
      <w:pPr>
        <w:tabs>
          <w:tab w:val="right" w:leader="dot" w:pos="9062"/>
        </w:tabs>
      </w:pPr>
      <w:hyperlink w:anchor="_Toc8" w:history="1">
        <w:r>
          <w:t>Project Governance</w:t>
        </w:r>
        <w:r>
          <w:tab/>
        </w:r>
        <w:r>
          <w:fldChar w:fldCharType="begin"/>
        </w:r>
        <w:r>
          <w:instrText xml:space="preserve">PAGEREF 8 \h</w:instrText>
        </w:r>
        <w:r>
          <w:fldChar w:fldCharType="end"/>
        </w:r>
      </w:hyperlink>
    </w:p>
    <w:p>
      <w:pPr>
        <w:tabs>
          <w:tab w:val="right" w:leader="dot" w:pos="9062"/>
        </w:tabs>
      </w:pPr>
      <w:hyperlink w:anchor="_Toc9" w:history="1">
        <w:r>
          <w:t>Ratings and Overall Assessments</w:t>
        </w:r>
        <w:r>
          <w:tab/>
        </w:r>
        <w:r>
          <w:fldChar w:fldCharType="begin"/>
        </w:r>
        <w:r>
          <w:instrText xml:space="preserve">PAGEREF 9 \h</w:instrText>
        </w:r>
        <w:r>
          <w:fldChar w:fldCharType="end"/>
        </w:r>
      </w:hyperlink>
    </w:p>
    <w:p>
      <w:pPr>
        <w:tabs>
          <w:tab w:val="right" w:leader="dot" w:pos="9062"/>
        </w:tabs>
      </w:pPr>
      <w:hyperlink w:anchor="_Toc10" w:history="1">
        <w:r>
          <w:t>Minor Amendments</w:t>
        </w:r>
        <w:r>
          <w:tab/>
        </w:r>
        <w:r>
          <w:fldChar w:fldCharType="begin"/>
        </w:r>
        <w:r>
          <w:instrText xml:space="preserve">PAGEREF 10 \h</w:instrText>
        </w:r>
        <w:r>
          <w:fldChar w:fldCharType="end"/>
        </w:r>
      </w:hyperlink>
    </w:p>
    <w:p>
      <w:pPr>
        <w:tabs>
          <w:tab w:val="right" w:leader="dot" w:pos="9062"/>
        </w:tabs>
      </w:pPr>
      <w:hyperlink w:anchor="_Toc11" w:history="1">
        <w:r>
          <w:t>Gender</w:t>
        </w:r>
        <w:r>
          <w:tab/>
        </w:r>
        <w:r>
          <w:fldChar w:fldCharType="begin"/>
        </w:r>
        <w:r>
          <w:instrText xml:space="preserve">PAGEREF 11 \h</w:instrText>
        </w:r>
        <w:r>
          <w:fldChar w:fldCharType="end"/>
        </w:r>
      </w:hyperlink>
    </w:p>
    <w:p>
      <w:pPr>
        <w:tabs>
          <w:tab w:val="right" w:leader="dot" w:pos="9062"/>
        </w:tabs>
      </w:pPr>
      <w:hyperlink w:anchor="_Toc13" w:history="1">
        <w:r>
          <w:t>Risk Management</w:t>
        </w:r>
        <w:r>
          <w:tab/>
        </w:r>
        <w:r>
          <w:fldChar w:fldCharType="begin"/>
        </w:r>
        <w:r>
          <w:instrText xml:space="preserve">PAGEREF 13 \h</w:instrText>
        </w:r>
        <w:r>
          <w:fldChar w:fldCharType="end"/>
        </w:r>
      </w:hyperlink>
    </w:p>
    <w:p>
      <w:pPr>
        <w:tabs>
          <w:tab w:val="right" w:leader="dot" w:pos="9062"/>
        </w:tabs>
      </w:pPr>
      <w:hyperlink w:anchor="_Toc16" w:history="1">
        <w:r>
          <w:t>Knowledge Management &amp; Communications</w:t>
        </w:r>
        <w:r>
          <w:tab/>
        </w:r>
        <w:r>
          <w:fldChar w:fldCharType="begin"/>
        </w:r>
        <w:r>
          <w:instrText xml:space="preserve">PAGEREF 16 \h</w:instrText>
        </w:r>
        <w:r>
          <w:fldChar w:fldCharType="end"/>
        </w:r>
      </w:hyperlink>
    </w:p>
    <w:p>
      <w:pPr>
        <w:tabs>
          <w:tab w:val="right" w:leader="dot" w:pos="9062"/>
        </w:tabs>
      </w:pPr>
      <w:hyperlink w:anchor="_Toc17" w:history="1">
        <w:r>
          <w:t>Annex - Ratings Definitions</w:t>
        </w:r>
        <w:r>
          <w:tab/>
        </w:r>
        <w:r>
          <w:fldChar w:fldCharType="begin"/>
        </w:r>
        <w:r>
          <w:instrText xml:space="preserve">PAGEREF 17 \h</w:instrText>
        </w:r>
        <w:r>
          <w:fldChar w:fldCharType="end"/>
        </w:r>
      </w:hyperlink>
    </w:p>
    <w:p>
      <w:r>
        <w:fldChar w:fldCharType="end"/>
      </w:r>
    </w:p>
    <w:p>
      <w:pPr>
        <w:sectPr>
          <w:headerReference w:type="default" r:id="rId11"/>
          <w:footerReference w:type="default" r:id="rId12"/>
          <w:pgSz w:orient="portrait" w:w="11905.511811023622" w:h="16837.79527559055"/>
          <w:pgMar w:top="1440" w:right="1440" w:bottom="1440" w:left="1440" w:header="720" w:footer="720" w:gutter="0"/>
          <w:cols w:num="1" w:space="720"/>
        </w:sectPr>
      </w:pPr>
    </w:p>
    <w:p>
      <w:pPr>
        <w:pStyle w:val="Heading1"/>
      </w:pPr>
      <w:bookmarkStart w:id="0" w:name="_Toc0"/>
      <w:r>
        <w:t>Basic Data</w:t>
      </w:r>
      <w:bookmarkEnd w:id="0"/>
    </w:p>
    <w:tbl>
      <w:tblGrid>
        <w:gridCol w:w="5000" w:type="dxa"/>
        <w:gridCol w:w="5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2"/>
            <w:noWrap/>
          </w:tcPr>
          <w:p>
            <w:pPr/>
            <w:r>
              <w:rPr>
                <w:b w:val="1"/>
                <w:bCs w:val="1"/>
              </w:rPr>
              <w:t xml:space="preserve">Project Information</w:t>
            </w:r>
          </w:p>
        </w:tc>
      </w:tr>
      <w:tr>
        <w:trPr/>
        <w:tc>
          <w:tcPr>
            <w:tcW w:w="5000" w:type="dxa"/>
            <w:gridSpan w:val="1"/>
            <w:noWrap/>
          </w:tcPr>
          <w:p>
            <w:pPr/>
            <w:r>
              <w:rPr/>
              <w:t xml:space="preserve">UNDP PIMS ID</w:t>
            </w:r>
          </w:p>
        </w:tc>
        <w:tc>
          <w:tcPr>
            <w:tcW w:w="5000" w:type="dxa"/>
            <w:gridSpan w:val="1"/>
            <w:noWrap/>
          </w:tcPr>
          <w:p>
            <w:pPr/>
            <w:r>
              <w:rPr/>
              <w:t xml:space="preserve">5673</w:t>
            </w:r>
          </w:p>
        </w:tc>
      </w:tr>
      <w:tr>
        <w:trPr/>
        <w:tc>
          <w:tcPr>
            <w:tcW w:w="5000" w:type="dxa"/>
            <w:gridSpan w:val="1"/>
            <w:noWrap/>
          </w:tcPr>
          <w:p>
            <w:pPr/>
            <w:r>
              <w:rPr/>
              <w:t xml:space="preserve">GEF ID</w:t>
            </w:r>
          </w:p>
        </w:tc>
        <w:tc>
          <w:tcPr>
            <w:tcW w:w="5000" w:type="dxa"/>
            <w:gridSpan w:val="1"/>
            <w:noWrap/>
          </w:tcPr>
          <w:p>
            <w:pPr/>
            <w:r>
              <w:rPr/>
              <w:t xml:space="preserve">10090</w:t>
            </w:r>
          </w:p>
        </w:tc>
      </w:tr>
      <w:tr>
        <w:trPr/>
        <w:tc>
          <w:tcPr>
            <w:tcW w:w="5000" w:type="dxa"/>
            <w:gridSpan w:val="1"/>
            <w:noWrap/>
          </w:tcPr>
          <w:p>
            <w:pPr/>
            <w:r>
              <w:rPr/>
              <w:t xml:space="preserve">Title</w:t>
            </w:r>
          </w:p>
        </w:tc>
        <w:tc>
          <w:tcPr>
            <w:tcW w:w="5000" w:type="dxa"/>
            <w:gridSpan w:val="1"/>
            <w:noWrap/>
          </w:tcPr>
          <w:p>
            <w:pPr/>
            <w:r>
              <w:rPr/>
              <w:t xml:space="preserve">Promoting Low Cost Energy Efficient Wooden Buildings in Turkey</w:t>
            </w:r>
          </w:p>
        </w:tc>
      </w:tr>
      <w:tr>
        <w:trPr/>
        <w:tc>
          <w:tcPr>
            <w:tcW w:w="5000" w:type="dxa"/>
            <w:gridSpan w:val="1"/>
            <w:noWrap/>
          </w:tcPr>
          <w:p>
            <w:pPr/>
            <w:r>
              <w:rPr/>
              <w:t xml:space="preserve">Country(ies)</w:t>
            </w:r>
          </w:p>
        </w:tc>
        <w:tc>
          <w:tcPr>
            <w:tcW w:w="5000" w:type="dxa"/>
            <w:gridSpan w:val="1"/>
            <w:noWrap/>
          </w:tcPr>
          <w:p>
            <w:pPr/>
            <w:r>
              <w:rPr/>
              <w:t xml:space="preserve">Türkiye, Türkiye</w:t>
            </w:r>
          </w:p>
        </w:tc>
      </w:tr>
      <w:tr>
        <w:trPr/>
        <w:tc>
          <w:tcPr>
            <w:tcW w:w="5000" w:type="dxa"/>
            <w:gridSpan w:val="1"/>
            <w:noWrap/>
          </w:tcPr>
          <w:p>
            <w:pPr/>
            <w:r>
              <w:rPr/>
              <w:t xml:space="preserve">UNDP Technical Team</w:t>
            </w:r>
          </w:p>
        </w:tc>
        <w:tc>
          <w:tcPr>
            <w:tcW w:w="5000" w:type="dxa"/>
            <w:gridSpan w:val="1"/>
            <w:noWrap/>
          </w:tcPr>
          <w:p>
            <w:pPr/>
            <w:r>
              <w:rPr/>
              <w:t xml:space="preserve">Climate Change Mitigation</w:t>
            </w:r>
          </w:p>
        </w:tc>
      </w:tr>
      <w:tr>
        <w:trPr/>
        <w:tc>
          <w:tcPr>
            <w:tcW w:w="5000" w:type="dxa"/>
            <w:gridSpan w:val="1"/>
            <w:noWrap/>
          </w:tcPr>
          <w:p>
            <w:pPr/>
            <w:r>
              <w:rPr/>
              <w:t xml:space="preserve">Management Arrangements</w:t>
            </w:r>
          </w:p>
        </w:tc>
        <w:tc>
          <w:tcPr>
            <w:tcW w:w="5000" w:type="dxa"/>
            <w:gridSpan w:val="1"/>
            <w:noWrap/>
          </w:tcPr>
          <w:p>
            <w:pPr/>
            <w:r>
              <w:rPr/>
              <w:t xml:space="preserve">CO Support to NIM</w:t>
            </w:r>
          </w:p>
        </w:tc>
      </w:tr>
      <w:tr>
        <w:trPr/>
        <w:tc>
          <w:tcPr>
            <w:tcW w:w="5000" w:type="dxa"/>
            <w:gridSpan w:val="1"/>
            <w:noWrap/>
          </w:tcPr>
          <w:p>
            <w:pPr/>
            <w:r>
              <w:rPr/>
              <w:t xml:space="preserve">Project Implementing Partner</w:t>
            </w:r>
          </w:p>
        </w:tc>
        <w:tc>
          <w:tcPr>
            <w:tcW w:w="5000" w:type="dxa"/>
            <w:gridSpan w:val="1"/>
            <w:noWrap/>
          </w:tcPr>
          <w:p>
            <w:pPr/>
            <w:r>
              <w:rPr/>
              <w:t xml:space="preserve">General Directorate of Forestry, Ministry of Agriculture and Forestry</w:t>
            </w:r>
          </w:p>
        </w:tc>
      </w:tr>
      <w:tr>
        <w:trPr/>
        <w:tc>
          <w:tcPr>
            <w:tcW w:w="5000" w:type="dxa"/>
            <w:gridSpan w:val="1"/>
            <w:noWrap/>
          </w:tcPr>
          <w:p>
            <w:pPr/>
            <w:r>
              <w:rPr/>
              <w:t xml:space="preserve">Joint Agencies</w:t>
            </w:r>
          </w:p>
        </w:tc>
        <w:tc>
          <w:tcPr>
            <w:tcW w:w="5000" w:type="dxa"/>
            <w:gridSpan w:val="1"/>
            <w:noWrap/>
          </w:tcPr>
          <w:p>
            <w:pPr/>
            <w:r>
              <w:rPr>
                <w:i w:val="1"/>
                <w:iCs w:val="1"/>
              </w:rPr>
              <w:t xml:space="preserve">(not set or not applicable)</w:t>
            </w:r>
          </w:p>
        </w:tc>
      </w:tr>
      <w:tr>
        <w:trPr/>
        <w:tc>
          <w:tcPr>
            <w:tcW w:w="5000" w:type="dxa"/>
            <w:gridSpan w:val="1"/>
            <w:noWrap/>
          </w:tcPr>
          <w:p>
            <w:pPr/>
            <w:r>
              <w:rPr/>
              <w:t xml:space="preserve">Project Type</w:t>
            </w:r>
          </w:p>
        </w:tc>
        <w:tc>
          <w:tcPr>
            <w:tcW w:w="5000" w:type="dxa"/>
            <w:gridSpan w:val="1"/>
            <w:noWrap/>
          </w:tcPr>
          <w:p>
            <w:pPr/>
            <w:r>
              <w:rPr/>
              <w:t xml:space="preserve">Full Size</w:t>
            </w:r>
          </w:p>
        </w:tc>
      </w:tr>
      <w:tr>
        <w:trPr/>
        <w:tc>
          <w:tcPr>
            <w:tcW w:w="5000" w:type="dxa"/>
            <w:gridSpan w:val="1"/>
            <w:noWrap/>
          </w:tcPr>
          <w:p>
            <w:pPr/>
            <w:r>
              <w:rPr/>
              <w:t xml:space="preserve">Implementation Status</w:t>
            </w:r>
          </w:p>
        </w:tc>
        <w:tc>
          <w:tcPr>
            <w:tcW w:w="5000" w:type="dxa"/>
            <w:gridSpan w:val="1"/>
            <w:noWrap/>
          </w:tcPr>
          <w:p>
            <w:pPr/>
            <w:r>
              <w:rPr/>
              <w:t xml:space="preserve">2nd PIR</w:t>
            </w:r>
          </w:p>
        </w:tc>
      </w:tr>
      <w:tr>
        <w:trPr/>
        <w:tc>
          <w:tcPr>
            <w:tcW w:w="5000" w:type="dxa"/>
            <w:gridSpan w:val="1"/>
            <w:noWrap/>
          </w:tcPr>
          <w:p>
            <w:pPr/>
            <w:r>
              <w:rPr/>
              <w:t xml:space="preserve">GEF Fiscal Year</w:t>
            </w:r>
          </w:p>
        </w:tc>
        <w:tc>
          <w:tcPr>
            <w:tcW w:w="5000" w:type="dxa"/>
            <w:gridSpan w:val="1"/>
            <w:noWrap/>
          </w:tcPr>
          <w:p>
            <w:pPr/>
            <w:r>
              <w:rPr/>
              <w:t xml:space="preserve">FY25</w:t>
            </w:r>
          </w:p>
        </w:tc>
      </w:tr>
      <w:tr>
        <w:trPr/>
        <w:tc>
          <w:tcPr>
            <w:tcW w:w="5000" w:type="dxa"/>
            <w:gridSpan w:val="1"/>
            <w:noWrap/>
          </w:tcPr>
          <w:p>
            <w:pPr/>
            <w:r>
              <w:rPr/>
              <w:t xml:space="preserve">Trust Fund</w:t>
            </w:r>
          </w:p>
        </w:tc>
        <w:tc>
          <w:tcPr>
            <w:tcW w:w="5000" w:type="dxa"/>
            <w:gridSpan w:val="1"/>
            <w:noWrap/>
          </w:tcPr>
          <w:p>
            <w:pPr/>
            <w:r>
              <w:rPr/>
              <w:t xml:space="preserve">GEF Trust Fund</w:t>
            </w:r>
          </w:p>
        </w:tc>
      </w:tr>
    </w:tbl>
    <w:p/>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noWrap/>
          </w:tcPr>
          <w:p>
            <w:pPr/>
            <w:r>
              <w:rPr>
                <w:b w:val="1"/>
                <w:bCs w:val="1"/>
              </w:rPr>
              <w:t xml:space="preserve">Project Description</w:t>
            </w:r>
          </w:p>
        </w:tc>
      </w:tr>
      <w:tr>
        <w:trPr/>
        <w:tc>
          <w:tcPr>
            <w:tcW w:w="10000" w:type="dxa"/>
            <w:gridSpan w:val="1"/>
            <w:noWrap/>
          </w:tcPr>
          <w:p>
            <w:pPr/>
            <w:r>
              <w:rPr/>
              <w:t xml:space="preserve">The project is aimed at assisting the Government of Türkiye to increase the use of wood in Türkiye’s building industry by using new, improved wood technologies, such as Cross-Laminated Timber (CLT). The project has a three-phased approach to promote scaling up and replication of pilots supported by the project which includes the successful implementation during the project of at least 6 pilot wooden building projects for a total of 8,400m2 floor space leading to an additional 0.58 million m2 of new construction in Türkiye coming from wood by 2028 or by 6 years from the project start date. The project focuses on removing barriers to promoting improved wood-based technologies by reducing legislative and regulatory barriers (Component 1), removing cost and financial barriers through demonstration projects (Component 2) and removing barriers to unsustainable demand and supply chain by awareness raising and capacity building activities (Component 3). The focus of the project will be on supporting the implementation of CLT in the buildings sector and it is expected that the awareness-raising and capacity-building activities will also lead to an increase in other types of wood used in the building sector, such as structural timber (ST) or Glued Laminated Timber (GLT). The project is positively contributing to achieving Türkiye’s nationally determined contribution (NDC), which gives special importance to increasing energy efficiency in the buildings sector by reducing the consumption of primary energy sources of new buildings and improved building materials. The project also supports the building sector to become low carbon in line with the European regulations on energy in the building sector.</w:t>
            </w:r>
          </w:p>
        </w:tc>
      </w:tr>
    </w:tbl>
    <w:p/>
    <w:tbl>
      <w:tblGrid>
        <w:gridCol w:w="5000" w:type="dxa"/>
        <w:gridCol w:w="5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2"/>
            <w:noWrap/>
          </w:tcPr>
          <w:p>
            <w:pPr/>
            <w:r>
              <w:rPr>
                <w:b w:val="1"/>
                <w:bCs w:val="1"/>
              </w:rPr>
              <w:t xml:space="preserve">Project Contacts</w:t>
            </w:r>
          </w:p>
        </w:tc>
      </w:tr>
      <w:tr>
        <w:trPr/>
        <w:tc>
          <w:tcPr>
            <w:tcW w:w="5000" w:type="dxa"/>
            <w:gridSpan w:val="1"/>
            <w:noWrap/>
          </w:tcPr>
          <w:p>
            <w:pPr/>
            <w:r>
              <w:rPr/>
              <w:t xml:space="preserve">UNDP BPPS Technical Advisor</w:t>
            </w:r>
          </w:p>
        </w:tc>
        <w:tc>
          <w:tcPr>
            <w:tcW w:w="5000" w:type="dxa"/>
            <w:gridSpan w:val="1"/>
            <w:noWrap/>
          </w:tcPr>
          <w:p>
            <w:pPr/>
            <w:r>
              <w:rPr/>
              <w:t xml:space="preserve">Ms. Jana Koperniech (jana.koperniech@undp.org)</w:t>
            </w:r>
          </w:p>
        </w:tc>
      </w:tr>
      <w:tr>
        <w:trPr/>
        <w:tc>
          <w:tcPr>
            <w:tcW w:w="5000" w:type="dxa"/>
            <w:gridSpan w:val="1"/>
            <w:noWrap/>
          </w:tcPr>
          <w:p>
            <w:pPr/>
            <w:r>
              <w:rPr/>
              <w:t xml:space="preserve">UNDP BPPS Programme Associate</w:t>
            </w:r>
          </w:p>
        </w:tc>
        <w:tc>
          <w:tcPr>
            <w:tcW w:w="5000" w:type="dxa"/>
            <w:gridSpan w:val="1"/>
            <w:noWrap/>
          </w:tcPr>
          <w:p>
            <w:pPr/>
            <w:r>
              <w:rPr/>
              <w:t xml:space="preserve">Ms. Tugba Varol (tugba.varol@undp.org)</w:t>
            </w:r>
          </w:p>
        </w:tc>
      </w:tr>
      <w:tr>
        <w:trPr/>
        <w:tc>
          <w:tcPr>
            <w:tcW w:w="5000" w:type="dxa"/>
            <w:gridSpan w:val="1"/>
            <w:noWrap/>
          </w:tcPr>
          <w:p>
            <w:pPr/>
            <w:r>
              <w:rPr/>
              <w:t xml:space="preserve">UNDP BPPS SES Technical Advisor</w:t>
            </w:r>
          </w:p>
        </w:tc>
        <w:tc>
          <w:tcPr>
            <w:tcW w:w="5000" w:type="dxa"/>
            <w:gridSpan w:val="1"/>
            <w:noWrap/>
          </w:tcPr>
          <w:p>
            <w:pPr/>
            <w:r>
              <w:rPr/>
              <w:t xml:space="preserve">Mr. Jiri DUSIK (jiri.dusik@undp.org)</w:t>
            </w:r>
          </w:p>
        </w:tc>
      </w:tr>
      <w:tr>
        <w:trPr/>
        <w:tc>
          <w:tcPr>
            <w:tcW w:w="5000" w:type="dxa"/>
            <w:gridSpan w:val="1"/>
            <w:noWrap/>
          </w:tcPr>
          <w:p>
            <w:pPr/>
            <w:r>
              <w:rPr/>
              <w:t xml:space="preserve">Project Manager/Coordinator</w:t>
            </w:r>
          </w:p>
        </w:tc>
        <w:tc>
          <w:tcPr>
            <w:tcW w:w="5000" w:type="dxa"/>
            <w:gridSpan w:val="1"/>
            <w:noWrap/>
          </w:tcPr>
          <w:p>
            <w:pPr/>
            <w:r>
              <w:rPr/>
              <w:t xml:space="preserve">Mr. Murat Morel (murat.morel@undp.org)</w:t>
            </w:r>
          </w:p>
          <w:p>
            <w:pPr/>
            <w:r>
              <w:rPr/>
              <w:t xml:space="preserve">Mr. Resat Benli (resatbenli@ogm.gov.tr)</w:t>
            </w:r>
          </w:p>
        </w:tc>
      </w:tr>
      <w:tr>
        <w:trPr/>
        <w:tc>
          <w:tcPr>
            <w:tcW w:w="5000" w:type="dxa"/>
            <w:gridSpan w:val="1"/>
            <w:noWrap/>
          </w:tcPr>
          <w:p>
            <w:pPr/>
            <w:r>
              <w:rPr/>
              <w:t xml:space="preserve">UNDP Country Office Programme Officer</w:t>
            </w:r>
          </w:p>
        </w:tc>
        <w:tc>
          <w:tcPr>
            <w:tcW w:w="5000" w:type="dxa"/>
            <w:gridSpan w:val="1"/>
            <w:noWrap/>
          </w:tcPr>
          <w:p>
            <w:pPr/>
            <w:r>
              <w:rPr/>
              <w:t xml:space="preserve">Meral Arda (meral.mungan-arda@undp.org)</w:t>
            </w:r>
          </w:p>
        </w:tc>
      </w:tr>
      <w:tr>
        <w:trPr/>
        <w:tc>
          <w:tcPr>
            <w:tcW w:w="5000" w:type="dxa"/>
            <w:gridSpan w:val="1"/>
            <w:noWrap/>
          </w:tcPr>
          <w:p>
            <w:pPr/>
            <w:r>
              <w:rPr/>
              <w:t xml:space="preserve">UNDP Country Office Deputy Resident Representative</w:t>
            </w:r>
          </w:p>
        </w:tc>
        <w:tc>
          <w:tcPr>
            <w:tcW w:w="5000" w:type="dxa"/>
            <w:gridSpan w:val="1"/>
            <w:noWrap/>
          </w:tcPr>
          <w:p>
            <w:pPr/>
            <w:r>
              <w:rPr/>
              <w:t xml:space="preserve">Mr. Miodrag Dragisic (miodrag.dragisic@undp.org)</w:t>
            </w:r>
          </w:p>
        </w:tc>
      </w:tr>
      <w:tr>
        <w:trPr/>
        <w:tc>
          <w:tcPr>
            <w:tcW w:w="5000" w:type="dxa"/>
            <w:gridSpan w:val="1"/>
            <w:noWrap/>
          </w:tcPr>
          <w:p>
            <w:pPr/>
            <w:r>
              <w:rPr/>
              <w:t xml:space="preserve">UNDP Regional Bureau Desk Officer</w:t>
            </w:r>
          </w:p>
        </w:tc>
        <w:tc>
          <w:tcPr>
            <w:tcW w:w="5000" w:type="dxa"/>
            <w:gridSpan w:val="1"/>
            <w:noWrap/>
          </w:tcPr>
          <w:p>
            <w:pPr/>
            <w:r>
              <w:rPr/>
              <w:t xml:space="preserve">Ms. Ozlem Altug (ozlem.altug@undp.org)</w:t>
            </w:r>
          </w:p>
        </w:tc>
      </w:tr>
      <w:tr>
        <w:trPr/>
        <w:tc>
          <w:tcPr>
            <w:tcW w:w="5000" w:type="dxa"/>
            <w:gridSpan w:val="1"/>
            <w:noWrap/>
          </w:tcPr>
          <w:p>
            <w:pPr/>
            <w:r>
              <w:rPr/>
              <w:t xml:space="preserve">GEF Operational Focal Point</w:t>
            </w:r>
          </w:p>
        </w:tc>
        <w:tc>
          <w:tcPr>
            <w:tcW w:w="5000" w:type="dxa"/>
            <w:gridSpan w:val="1"/>
            <w:noWrap/>
          </w:tcPr>
          <w:p>
            <w:pPr/>
            <w:r>
              <w:rPr>
                <w:i w:val="1"/>
                <w:iCs w:val="1"/>
              </w:rPr>
              <w:t xml:space="preserve">(not set or not applicable)</w:t>
            </w:r>
          </w:p>
        </w:tc>
      </w:tr>
      <w:tr>
        <w:trPr/>
        <w:tc>
          <w:tcPr>
            <w:tcW w:w="5000" w:type="dxa"/>
            <w:gridSpan w:val="1"/>
            <w:noWrap/>
          </w:tcPr>
          <w:p>
            <w:pPr/>
            <w:r>
              <w:rPr/>
              <w:t xml:space="preserve">Project Implementing Partner</w:t>
            </w:r>
          </w:p>
        </w:tc>
        <w:tc>
          <w:tcPr>
            <w:tcW w:w="5000" w:type="dxa"/>
            <w:gridSpan w:val="1"/>
            <w:noWrap/>
          </w:tcPr>
          <w:p>
            <w:pPr/>
            <w:r>
              <w:rPr>
                <w:i w:val="1"/>
                <w:iCs w:val="1"/>
              </w:rPr>
              <w:t xml:space="preserve">(not set or not applicable)</w:t>
            </w:r>
          </w:p>
        </w:tc>
      </w:tr>
      <w:tr>
        <w:trPr/>
        <w:tc>
          <w:tcPr>
            <w:tcW w:w="5000" w:type="dxa"/>
            <w:gridSpan w:val="1"/>
            <w:noWrap/>
          </w:tcPr>
          <w:p>
            <w:pPr/>
            <w:r>
              <w:rPr/>
              <w:t xml:space="preserve">Other Partners</w:t>
            </w:r>
          </w:p>
        </w:tc>
        <w:tc>
          <w:tcPr>
            <w:tcW w:w="5000" w:type="dxa"/>
            <w:gridSpan w:val="1"/>
            <w:noWrap/>
          </w:tcPr>
          <w:p>
            <w:pPr/>
            <w:r>
              <w:rPr>
                <w:i w:val="1"/>
                <w:iCs w:val="1"/>
              </w:rPr>
              <w:t xml:space="preserve">(not set or not applicable)</w:t>
            </w:r>
          </w:p>
        </w:tc>
      </w:tr>
    </w:tbl>
    <w:p>
      <w:pPr>
        <w:sectPr>
          <w:pgSz w:orient="portrait" w:w="11905.511811023622" w:h="16837.79527559055"/>
          <w:pgMar w:top="1440" w:right="1440" w:bottom="1440" w:left="1440" w:header="720" w:footer="720" w:gutter="0"/>
          <w:cols w:num="1" w:space="720"/>
        </w:sectPr>
      </w:pPr>
    </w:p>
    <w:p>
      <w:pPr>
        <w:pStyle w:val="Heading1"/>
      </w:pPr>
      <w:bookmarkStart w:id="1" w:name="_Toc1"/>
      <w:r>
        <w:t>Key project dates</w:t>
      </w:r>
      <w:bookmarkEnd w:id="1"/>
    </w:p>
    <w:tbl>
      <w:tblGrid>
        <w:gridCol w:w="5000" w:type="dxa"/>
        <w:gridCol w:w="5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5000" w:type="dxa"/>
            <w:gridSpan w:val="1"/>
            <w:noWrap/>
          </w:tcPr>
          <w:p>
            <w:pPr/>
            <w:r>
              <w:rPr/>
              <w:t xml:space="preserve">Project duration</w:t>
            </w:r>
          </w:p>
        </w:tc>
        <w:tc>
          <w:tcPr>
            <w:tcW w:w="5000" w:type="dxa"/>
            <w:vAlign w:val="center"/>
            <w:gridSpan w:val="1"/>
            <w:noWrap/>
          </w:tcPr>
          <w:p>
            <w:pPr>
              <w:jc w:val="right"/>
            </w:pPr>
            <w:r>
              <w:rPr/>
              <w:t xml:space="preserve">72 months</w:t>
            </w:r>
          </w:p>
        </w:tc>
      </w:tr>
      <w:tr>
        <w:trPr/>
        <w:tc>
          <w:tcPr>
            <w:tcW w:w="5000" w:type="dxa"/>
            <w:gridSpan w:val="1"/>
            <w:noWrap/>
          </w:tcPr>
          <w:p>
            <w:pPr/>
            <w:r>
              <w:rPr/>
              <w:t xml:space="preserve">PIF Approval Date</w:t>
            </w:r>
          </w:p>
        </w:tc>
        <w:tc>
          <w:tcPr>
            <w:tcW w:w="5000" w:type="dxa"/>
            <w:vAlign w:val="center"/>
            <w:gridSpan w:val="1"/>
            <w:noWrap/>
          </w:tcPr>
          <w:p>
            <w:pPr>
              <w:jc w:val="right"/>
            </w:pPr>
            <w:r>
              <w:rPr/>
              <w:t xml:space="preserve">Dec 20, 2018</w:t>
            </w:r>
          </w:p>
        </w:tc>
      </w:tr>
      <w:tr>
        <w:trPr/>
        <w:tc>
          <w:tcPr>
            <w:tcW w:w="5000" w:type="dxa"/>
            <w:gridSpan w:val="1"/>
            <w:noWrap/>
          </w:tcPr>
          <w:p>
            <w:pPr/>
            <w:r>
              <w:rPr/>
              <w:t xml:space="preserve">CEO Endorsement Date</w:t>
            </w:r>
          </w:p>
        </w:tc>
        <w:tc>
          <w:tcPr>
            <w:tcW w:w="5000" w:type="dxa"/>
            <w:vAlign w:val="center"/>
            <w:gridSpan w:val="1"/>
            <w:noWrap/>
          </w:tcPr>
          <w:p>
            <w:pPr>
              <w:jc w:val="right"/>
            </w:pPr>
            <w:r>
              <w:rPr/>
              <w:t xml:space="preserve">Feb 23, 2023</w:t>
            </w:r>
          </w:p>
        </w:tc>
      </w:tr>
      <w:tr>
        <w:trPr/>
        <w:tc>
          <w:tcPr>
            <w:tcW w:w="5000" w:type="dxa"/>
            <w:gridSpan w:val="1"/>
            <w:noWrap/>
          </w:tcPr>
          <w:p>
            <w:pPr/>
            <w:r>
              <w:rPr/>
              <w:t xml:space="preserve">Project Document Signature Date (project start date):</w:t>
            </w:r>
          </w:p>
        </w:tc>
        <w:tc>
          <w:tcPr>
            <w:tcW w:w="5000" w:type="dxa"/>
            <w:vAlign w:val="center"/>
            <w:gridSpan w:val="1"/>
            <w:noWrap/>
          </w:tcPr>
          <w:p>
            <w:pPr>
              <w:jc w:val="right"/>
            </w:pPr>
            <w:r>
              <w:rPr/>
              <w:t xml:space="preserve">Jun 12, 2023</w:t>
            </w:r>
          </w:p>
        </w:tc>
      </w:tr>
      <w:tr>
        <w:trPr/>
        <w:tc>
          <w:tcPr>
            <w:tcW w:w="5000" w:type="dxa"/>
            <w:gridSpan w:val="1"/>
            <w:noWrap/>
          </w:tcPr>
          <w:p>
            <w:pPr/>
            <w:r>
              <w:rPr/>
              <w:t xml:space="preserve">Date of Inception Workshop</w:t>
            </w:r>
          </w:p>
        </w:tc>
        <w:tc>
          <w:tcPr>
            <w:tcW w:w="5000" w:type="dxa"/>
            <w:vAlign w:val="center"/>
            <w:gridSpan w:val="1"/>
            <w:noWrap/>
          </w:tcPr>
          <w:p>
            <w:pPr>
              <w:jc w:val="right"/>
            </w:pPr>
            <w:r>
              <w:rPr/>
              <w:t xml:space="preserve">Dec 8, 2023</w:t>
            </w:r>
          </w:p>
        </w:tc>
      </w:tr>
      <w:tr>
        <w:trPr/>
        <w:tc>
          <w:tcPr>
            <w:tcW w:w="5000" w:type="dxa"/>
            <w:gridSpan w:val="1"/>
            <w:noWrap/>
          </w:tcPr>
          <w:p>
            <w:pPr/>
            <w:r>
              <w:rPr/>
              <w:t xml:space="preserve">First Disbursement Date</w:t>
            </w:r>
          </w:p>
        </w:tc>
        <w:tc>
          <w:tcPr>
            <w:tcW w:w="5000" w:type="dxa"/>
            <w:vAlign w:val="center"/>
            <w:gridSpan w:val="1"/>
            <w:noWrap/>
          </w:tcPr>
          <w:p>
            <w:pPr>
              <w:jc w:val="right"/>
            </w:pPr>
            <w:r>
              <w:rPr/>
              <w:t xml:space="preserve">Aug 1, 2023</w:t>
            </w:r>
          </w:p>
        </w:tc>
      </w:tr>
      <w:tr>
        <w:trPr/>
        <w:tc>
          <w:tcPr>
            <w:tcW w:w="5000" w:type="dxa"/>
            <w:gridSpan w:val="1"/>
            <w:noWrap/>
          </w:tcPr>
          <w:p>
            <w:pPr/>
            <w:r>
              <w:rPr/>
              <w:t xml:space="preserve">Expected Date of Mid-term Review</w:t>
            </w:r>
          </w:p>
        </w:tc>
        <w:tc>
          <w:tcPr>
            <w:tcW w:w="5000" w:type="dxa"/>
            <w:vAlign w:val="center"/>
            <w:gridSpan w:val="1"/>
            <w:noWrap/>
          </w:tcPr>
          <w:p>
            <w:pPr>
              <w:jc w:val="right"/>
            </w:pPr>
            <w:r>
              <w:rPr/>
              <w:t xml:space="preserve">Jun 12, 2026</w:t>
            </w:r>
          </w:p>
        </w:tc>
      </w:tr>
      <w:tr>
        <w:trPr/>
        <w:tc>
          <w:tcPr>
            <w:tcW w:w="5000" w:type="dxa"/>
            <w:gridSpan w:val="1"/>
            <w:noWrap/>
          </w:tcPr>
          <w:p>
            <w:pPr/>
            <w:r>
              <w:rPr/>
              <w:t xml:space="preserve">Actual Date of Mid-term Review</w:t>
            </w:r>
          </w:p>
        </w:tc>
        <w:tc>
          <w:tcPr>
            <w:tcW w:w="5000" w:type="dxa"/>
            <w:vAlign w:val="center"/>
            <w:gridSpan w:val="1"/>
            <w:noWrap/>
          </w:tcPr>
          <w:p>
            <w:pPr>
              <w:jc w:val="right"/>
            </w:pPr>
            <w:r>
              <w:rPr>
                <w:i w:val="1"/>
                <w:iCs w:val="1"/>
              </w:rPr>
              <w:t xml:space="preserve">(not set or not applicable)</w:t>
            </w:r>
          </w:p>
        </w:tc>
      </w:tr>
      <w:tr>
        <w:trPr/>
        <w:tc>
          <w:tcPr>
            <w:tcW w:w="5000" w:type="dxa"/>
            <w:gridSpan w:val="1"/>
            <w:noWrap/>
          </w:tcPr>
          <w:p>
            <w:pPr/>
            <w:r>
              <w:rPr/>
              <w:t xml:space="preserve">Expected Date of Terminal Evaluation</w:t>
            </w:r>
          </w:p>
        </w:tc>
        <w:tc>
          <w:tcPr>
            <w:tcW w:w="5000" w:type="dxa"/>
            <w:vAlign w:val="center"/>
            <w:gridSpan w:val="1"/>
            <w:noWrap/>
          </w:tcPr>
          <w:p>
            <w:pPr>
              <w:jc w:val="right"/>
            </w:pPr>
            <w:r>
              <w:rPr/>
              <w:t xml:space="preserve">Mar 12, 2029</w:t>
            </w:r>
          </w:p>
        </w:tc>
      </w:tr>
      <w:tr>
        <w:trPr/>
        <w:tc>
          <w:tcPr>
            <w:tcW w:w="5000" w:type="dxa"/>
            <w:gridSpan w:val="1"/>
            <w:noWrap/>
          </w:tcPr>
          <w:p>
            <w:pPr/>
            <w:r>
              <w:rPr/>
              <w:t xml:space="preserve">Original Planned Closing Date</w:t>
            </w:r>
          </w:p>
        </w:tc>
        <w:tc>
          <w:tcPr>
            <w:tcW w:w="5000" w:type="dxa"/>
            <w:vAlign w:val="center"/>
            <w:gridSpan w:val="1"/>
            <w:noWrap/>
          </w:tcPr>
          <w:p>
            <w:pPr>
              <w:jc w:val="right"/>
            </w:pPr>
            <w:r>
              <w:rPr/>
              <w:t xml:space="preserve">Jun 12, 2029</w:t>
            </w:r>
          </w:p>
        </w:tc>
      </w:tr>
      <w:tr>
        <w:trPr/>
        <w:tc>
          <w:tcPr>
            <w:tcW w:w="5000" w:type="dxa"/>
            <w:gridSpan w:val="1"/>
            <w:noWrap/>
          </w:tcPr>
          <w:p>
            <w:pPr/>
            <w:r>
              <w:rPr/>
              <w:t xml:space="preserve">Revised Planned Closing Date</w:t>
            </w:r>
          </w:p>
        </w:tc>
        <w:tc>
          <w:tcPr>
            <w:tcW w:w="5000" w:type="dxa"/>
            <w:vAlign w:val="center"/>
            <w:gridSpan w:val="1"/>
            <w:noWrap/>
          </w:tcPr>
          <w:p>
            <w:pPr>
              <w:jc w:val="right"/>
            </w:pPr>
            <w:r>
              <w:rPr>
                <w:i w:val="1"/>
                <w:iCs w:val="1"/>
              </w:rPr>
              <w:t xml:space="preserve">(not set or not applicable)</w:t>
            </w:r>
          </w:p>
        </w:tc>
      </w:tr>
    </w:tbl>
    <w:p>
      <w:pPr>
        <w:sectPr>
          <w:pgSz w:orient="portrait" w:w="11905.511811023622" w:h="16837.79527559055"/>
          <w:pgMar w:top="1440" w:right="1440" w:bottom="1440" w:left="1440" w:header="720" w:footer="720" w:gutter="0"/>
          <w:cols w:num="1" w:space="720"/>
        </w:sectPr>
      </w:pPr>
    </w:p>
    <w:p>
      <w:pPr>
        <w:pStyle w:val="Heading1"/>
      </w:pPr>
      <w:bookmarkStart w:id="2" w:name="_Toc2"/>
      <w:r>
        <w:t>Overall ratings</w:t>
      </w:r>
      <w:bookmarkEnd w:id="2"/>
    </w:p>
    <w:tbl>
      <w:tblGrid>
        <w:gridCol w:w="8000" w:type="dxa"/>
        <w:gridCol w:w="8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8000" w:type="dxa"/>
            <w:gridSpan w:val="1"/>
            <w:noWrap/>
          </w:tcPr>
          <w:p>
            <w:pPr/>
            <w:r>
              <w:rPr/>
              <w:t xml:space="preserve">Overall DO Rating</w:t>
            </w:r>
          </w:p>
        </w:tc>
        <w:tc>
          <w:tcPr>
            <w:tcW w:w="8000" w:type="dxa"/>
            <w:gridSpan w:val="1"/>
            <w:noWrap/>
          </w:tcPr>
          <w:p>
            <w:pPr/>
            <w:r>
              <w:rPr/>
              <w:t xml:space="preserve">Moderately Satisfactory</w:t>
            </w:r>
          </w:p>
        </w:tc>
      </w:tr>
      <w:tr>
        <w:trPr/>
        <w:tc>
          <w:tcPr>
            <w:tcW w:w="8000" w:type="dxa"/>
            <w:gridSpan w:val="1"/>
            <w:noWrap/>
          </w:tcPr>
          <w:p>
            <w:pPr/>
            <w:r>
              <w:rPr/>
              <w:t xml:space="preserve">Overall IP Rating</w:t>
            </w:r>
          </w:p>
        </w:tc>
        <w:tc>
          <w:tcPr>
            <w:tcW w:w="8000" w:type="dxa"/>
            <w:gridSpan w:val="1"/>
            <w:noWrap/>
          </w:tcPr>
          <w:p>
            <w:pPr/>
            <w:r>
              <w:rPr/>
              <w:t xml:space="preserve">Moderately Satisfactory</w:t>
            </w:r>
          </w:p>
        </w:tc>
      </w:tr>
      <w:tr>
        <w:trPr/>
        <w:tc>
          <w:tcPr>
            <w:tcW w:w="8000" w:type="dxa"/>
            <w:gridSpan w:val="1"/>
            <w:noWrap/>
          </w:tcPr>
          <w:p>
            <w:pPr/>
            <w:r>
              <w:rPr/>
              <w:t xml:space="preserve">Overall Risk Rating</w:t>
            </w:r>
          </w:p>
        </w:tc>
        <w:tc>
          <w:tcPr>
            <w:tcW w:w="8000" w:type="dxa"/>
            <w:gridSpan w:val="1"/>
            <w:noWrap/>
          </w:tcPr>
          <w:p>
            <w:pPr/>
            <w:r>
              <w:rPr/>
              <w:t xml:space="preserve">substantial</w:t>
            </w:r>
          </w:p>
        </w:tc>
      </w:tr>
    </w:tbl>
    <w:p>
      <w:pPr>
        <w:sectPr>
          <w:pgSz w:orient="portrait" w:w="11905.511811023622" w:h="16837.79527559055"/>
          <w:pgMar w:top="1440" w:right="1440" w:bottom="1440" w:left="1440" w:header="720" w:footer="720" w:gutter="0"/>
          <w:cols w:num="1" w:space="720"/>
        </w:sectPr>
      </w:pPr>
    </w:p>
    <w:p>
      <w:pPr>
        <w:pStyle w:val="Heading1"/>
      </w:pPr>
      <w:bookmarkStart w:id="3" w:name="_Toc3"/>
      <w:r>
        <w:t>Development Objective Progress</w:t>
      </w:r>
      <w:bookmarkEnd w:id="3"/>
    </w:p>
    <w:p>
      <w:pPr/>
      <w:r>
        <w:rPr/>
        <w:t xml:space="preserve">It is mandatory for all reported progress to be substantiated by evidence. Please upload evidence files for each objective/outcome via the DO PROGRESS section in the online PIR platform.  If there is no evidence to upload, the Project Manager is required to provide an explanation. </w:t>
      </w:r>
    </w:p>
    <w:tbl>
      <w:tblGrid>
        <w:gridCol w:w="4000" w:type="dxa"/>
        <w:gridCol w:w="2000" w:type="dxa"/>
        <w:gridCol w:w="2000" w:type="dxa"/>
        <w:gridCol w:w="2000" w:type="dxa"/>
        <w:gridCol w:w="4000" w:type="dxa"/>
        <w:gridCol w:w="4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6000" w:type="dxa"/>
            <w:gridSpan w:val="7"/>
            <w:noWrap/>
          </w:tcPr>
          <w:p>
            <w:pPr/>
            <w:r>
              <w:rPr>
                <w:b w:val="1"/>
                <w:bCs w:val="1"/>
              </w:rPr>
              <w:t xml:space="preserve">Description</w:t>
            </w:r>
          </w:p>
        </w:tc>
      </w:tr>
      <w:tr>
        <w:trPr/>
        <w:tc>
          <w:tcPr>
            <w:tcW w:w="16000" w:type="dxa"/>
            <w:shd w:val="clear" w:fill="#D9D9D9"/>
            <w:gridSpan w:val="7"/>
            <w:noWrap/>
          </w:tcPr>
          <w:p>
            <w:pPr/>
            <w:r>
              <w:rPr>
                <w:b w:val="1"/>
                <w:bCs w:val="1"/>
              </w:rPr>
              <w:t xml:space="preserve">Objective</w:t>
            </w:r>
          </w:p>
          <w:p>
            <w:pPr/>
            <w:r>
              <w:rPr>
                <w:b w:val="1"/>
                <w:bCs w:val="1"/>
              </w:rPr>
              <w:t xml:space="preserve">To promote and replicate the use of innovative wood-based technologies as low carbon construction materials in Türkiye based on the successful implementation during the project of at least 6 pilot wooden building projects for a total of 8 400m2 floor space leading to an additional 0.58 million m2 of new construction in Türkiye coming from wood by 2028 leading to direct lifetime greenhouse gas emissions of at least 165,715 tonnes of CO2e and indirect emissions of 2,353 tonnes of CO2e.</w:t>
            </w:r>
          </w:p>
        </w:tc>
      </w:tr>
      <w:tr>
        <w:trPr/>
        <w:tc>
          <w:tcPr>
            <w:tcW w:w="4000" w:type="dxa"/>
            <w:gridSpan w:val="1"/>
            <w:noWrap/>
          </w:tcPr>
          <w:p>
            <w:pPr/>
            <w:r>
              <w:rPr>
                <w:b w:val="1"/>
                <w:bCs w:val="1"/>
              </w:rPr>
              <w:t xml:space="preserve">Description of Indicator</w:t>
            </w:r>
          </w:p>
        </w:tc>
        <w:tc>
          <w:tcPr>
            <w:tcW w:w="2000" w:type="dxa"/>
            <w:gridSpan w:val="1"/>
            <w:noWrap/>
          </w:tcPr>
          <w:p>
            <w:pPr/>
            <w:r>
              <w:rPr>
                <w:b w:val="1"/>
                <w:bCs w:val="1"/>
              </w:rPr>
              <w:t xml:space="preserve">Baseline Level</w:t>
            </w:r>
          </w:p>
        </w:tc>
        <w:tc>
          <w:tcPr>
            <w:tcW w:w="2000" w:type="dxa"/>
            <w:gridSpan w:val="1"/>
            <w:noWrap/>
          </w:tcPr>
          <w:p>
            <w:pPr/>
            <w:r>
              <w:rPr>
                <w:b w:val="1"/>
                <w:bCs w:val="1"/>
              </w:rPr>
              <w:t xml:space="preserve">Midterm target level</w:t>
            </w:r>
          </w:p>
        </w:tc>
        <w:tc>
          <w:tcPr>
            <w:tcW w:w="2000" w:type="dxa"/>
            <w:gridSpan w:val="1"/>
            <w:noWrap/>
          </w:tcPr>
          <w:p>
            <w:pPr/>
            <w:r>
              <w:rPr>
                <w:b w:val="1"/>
                <w:bCs w:val="1"/>
              </w:rPr>
              <w:t xml:space="preserve">End of project target level</w:t>
            </w:r>
          </w:p>
        </w:tc>
        <w:tc>
          <w:tcPr>
            <w:tcW w:w="4000" w:type="dxa"/>
            <w:gridSpan w:val="1"/>
            <w:noWrap/>
          </w:tcPr>
          <w:p>
            <w:pPr/>
            <w:r>
              <w:rPr>
                <w:b w:val="1"/>
                <w:bCs w:val="1"/>
              </w:rPr>
              <w:t xml:space="preserve">Level at Jun 30, 2024</w:t>
            </w:r>
          </w:p>
        </w:tc>
        <w:tc>
          <w:tcPr>
            <w:tcW w:w="4000" w:type="dxa"/>
            <w:gridSpan w:val="1"/>
            <w:noWrap/>
          </w:tcPr>
          <w:p>
            <w:pPr/>
            <w:r>
              <w:rPr>
                <w:b w:val="1"/>
                <w:bCs w:val="1"/>
              </w:rPr>
              <w:t xml:space="preserve">Cumulative progress since project start as of Jun 30, 2025</w:t>
            </w:r>
          </w:p>
        </w:tc>
      </w:tr>
      <w:tr>
        <w:trPr/>
        <w:tc>
          <w:tcPr>
            <w:tcW w:w="4000" w:type="dxa"/>
            <w:gridSpan w:val="1"/>
            <w:noWrap/>
          </w:tcPr>
          <w:p>
            <w:pPr/>
            <w:r>
              <w:rPr/>
              <w:t xml:space="preserve">Mandatory Indicator 1:  # direct project beneficiaries disaggregated by gender (individual people) (see methodology available from BPPS NCE-VF)</w:t>
            </w:r>
          </w:p>
          <w:p>
            <w:pPr/>
            <w:r>
              <w:rPr/>
              <w:t xml:space="preserve"/>
            </w:r>
          </w:p>
        </w:tc>
        <w:tc>
          <w:tcPr>
            <w:tcW w:w="2000" w:type="dxa"/>
            <w:gridSpan w:val="1"/>
            <w:noWrap/>
          </w:tcPr>
          <w:p>
            <w:pPr/>
            <w:r>
              <w:rPr/>
              <w:t xml:space="preserve">Female 0</w:t>
            </w:r>
          </w:p>
          <w:p>
            <w:pPr/>
            <w:r>
              <w:rPr/>
              <w:t xml:space="preserve">Male 0</w:t>
            </w:r>
          </w:p>
          <w:p>
            <w:pPr/>
            <w:r>
              <w:rPr/>
              <w:t xml:space="preserve">Total 0</w:t>
            </w:r>
          </w:p>
          <w:p>
            <w:pPr/>
            <w:r>
              <w:rPr/>
              <w:t xml:space="preserve"/>
            </w:r>
          </w:p>
        </w:tc>
        <w:tc>
          <w:tcPr>
            <w:tcW w:w="2000" w:type="dxa"/>
            <w:gridSpan w:val="1"/>
            <w:noWrap/>
          </w:tcPr>
          <w:p>
            <w:pPr/>
            <w:r>
              <w:rPr/>
              <w:t xml:space="preserve">Female 65</w:t>
            </w:r>
          </w:p>
          <w:p>
            <w:pPr/>
            <w:r>
              <w:rPr/>
              <w:t xml:space="preserve">Male 115</w:t>
            </w:r>
          </w:p>
          <w:p>
            <w:pPr/>
            <w:r>
              <w:rPr/>
              <w:t xml:space="preserve">Total 180</w:t>
            </w:r>
          </w:p>
          <w:p>
            <w:pPr/>
            <w:r>
              <w:rPr/>
              <w:t xml:space="preserve"/>
            </w:r>
          </w:p>
        </w:tc>
        <w:tc>
          <w:tcPr>
            <w:tcW w:w="2000" w:type="dxa"/>
            <w:gridSpan w:val="1"/>
            <w:noWrap/>
          </w:tcPr>
          <w:p>
            <w:pPr/>
            <w:r>
              <w:rPr/>
              <w:t xml:space="preserve">Female 315</w:t>
            </w:r>
          </w:p>
          <w:p>
            <w:pPr/>
            <w:r>
              <w:rPr/>
              <w:t xml:space="preserve">Male 585</w:t>
            </w:r>
          </w:p>
          <w:p>
            <w:pPr/>
            <w:r>
              <w:rPr/>
              <w:t xml:space="preserve">Total 900</w:t>
            </w:r>
          </w:p>
          <w:p>
            <w:pPr/>
            <w:r>
              <w:rPr/>
              <w:t xml:space="preserve"/>
            </w:r>
          </w:p>
        </w:tc>
        <w:tc>
          <w:tcPr>
            <w:tcW w:w="4000" w:type="dxa"/>
            <w:gridSpan w:val="1"/>
            <w:noWrap/>
          </w:tcPr>
          <w:p>
            <w:pPr/>
            <w:r>
              <w:rPr/>
              <w:t xml:space="preserve">Female: 10</w:t>
            </w:r>
          </w:p>
          <w:p>
            <w:pPr/>
            <w:r>
              <w:rPr/>
              <w:t xml:space="preserve">Male: 56</w:t>
            </w:r>
          </w:p>
          <w:p>
            <w:pPr/>
            <w:r>
              <w:rPr/>
              <w:t xml:space="preserve">Total: 66</w:t>
            </w:r>
          </w:p>
          <w:p>
            <w:pPr/>
            <w:r>
              <w:rPr/>
              <w:t xml:space="preserve"/>
            </w:r>
          </w:p>
          <w:p>
            <w:pPr/>
            <w:r>
              <w:rPr/>
              <w:t xml:space="preserve">The General Directorate of Forestry (GDF)  initiated the construction of wooden buildings in February 2023 in earthquake-affected region of Türkiye ( 11 provinces). The project, starting in June 2023, provided an immediate support towards this initiative using the know-how accumulated during the design “Energy Efficient Wooden Buildings” Project.</w:t>
            </w:r>
          </w:p>
          <w:p>
            <w:pPr/>
            <w:r>
              <w:rPr/>
              <w:t xml:space="preserve">Since the project started/during this reporting period, it has concentrated on increasing the capacity of civil, mechanical and electrical engineers together with architects who were working at GDF’s headquarters in Ankara and at its district offices. 3 days’ training programme was designed to address technical needs    of the said personnel in earthquake-affected regions where GDF started the construction of wooden buildings . As the GDF’s personnel will be responsible for commissioning of their own buildings, the training was mainly focused on wooden structure design principles, wooden construction material selection and preparation of commissioning check lists (i.e. design checks, inspection methods for wooden materials and connection elements, mechanical and electrical design applications, etc.). So far, 66 professionals became direct beneficiaries by attending this training and will continue to be the part of the project until its closure.</w:t>
            </w:r>
          </w:p>
          <w:p>
            <w:pPr/>
            <w:r>
              <w:rPr/>
              <w:t xml:space="preserve"/>
            </w:r>
          </w:p>
          <w:p>
            <w:pPr/>
            <w:r>
              <w:rPr/>
              <w:t xml:space="preserve"/>
            </w:r>
          </w:p>
          <w:p>
            <w:pPr/>
            <w:r>
              <w:rPr/>
              <w:t xml:space="preserve"/>
            </w:r>
          </w:p>
        </w:tc>
        <w:tc>
          <w:tcPr>
            <w:tcW w:w="4000" w:type="dxa"/>
            <w:gridSpan w:val="1"/>
            <w:noWrap/>
          </w:tcPr>
          <w:p>
            <w:pPr/>
            <w:r>
              <w:rPr/>
              <w:t xml:space="preserve">Female 105</w:t>
            </w:r>
          </w:p>
          <w:p>
            <w:pPr/>
            <w:r>
              <w:rPr/>
              <w:t xml:space="preserve">Male 405</w:t>
            </w:r>
          </w:p>
          <w:p>
            <w:pPr/>
            <w:r>
              <w:rPr/>
              <w:t xml:space="preserve">Total 510</w:t>
            </w:r>
          </w:p>
          <w:p>
            <w:pPr/>
            <w:r>
              <w:rPr/>
              <w:t xml:space="preserve"/>
            </w:r>
          </w:p>
          <w:p>
            <w:pPr/>
            <w:r>
              <w:rPr/>
              <w:t xml:space="preserve">During this PIR period, the project continued to deliver capacity-building, training, and awareness-raising activities targeting a broad range of stakeholders and beneficiaries. These included graduate and postgraduate students in civil engineering, architecture, and forest industry programs, public institutions involved in public building construction and related legislation, as well as private sector actors such as architecture and engineering firms, contractors, and construction material suppliers.</w:t>
            </w:r>
          </w:p>
          <w:p>
            <w:pPr/>
            <w:r>
              <w:rPr/>
              <w:t xml:space="preserve"/>
            </w:r>
          </w:p>
          <w:p>
            <w:pPr/>
            <w:r>
              <w:rPr/>
              <w:t xml:space="preserve">The following events were organized:</w:t>
            </w:r>
          </w:p>
          <w:p>
            <w:pPr/>
            <w:r>
              <w:rPr/>
              <w:t xml:space="preserve"/>
            </w:r>
          </w:p>
          <w:p>
            <w:pPr/>
            <w:r>
              <w:rPr/>
              <w:t xml:space="preserve">16.07.2024 – 2-day awareness and training event for public institutions (80 engineers, architects, and policymakers)</w:t>
            </w:r>
          </w:p>
          <w:p>
            <w:pPr/>
            <w:r>
              <w:rPr/>
              <w:t xml:space="preserve"/>
            </w:r>
          </w:p>
          <w:p>
            <w:pPr/>
            <w:r>
              <w:rPr/>
              <w:t xml:space="preserve">26.11.2024 – 3-day training for postgraduate students (88 participants)</w:t>
            </w:r>
          </w:p>
          <w:p>
            <w:pPr/>
            <w:r>
              <w:rPr/>
              <w:t xml:space="preserve"/>
            </w:r>
          </w:p>
          <w:p>
            <w:pPr/>
            <w:r>
              <w:rPr/>
              <w:t xml:space="preserve">24.02.2025 – 3-day training for postgraduate students (54 participants)</w:t>
            </w:r>
          </w:p>
          <w:p>
            <w:pPr/>
            <w:r>
              <w:rPr/>
              <w:t xml:space="preserve"/>
            </w:r>
          </w:p>
          <w:p>
            <w:pPr/>
            <w:r>
              <w:rPr/>
              <w:t xml:space="preserve">03.05.2025 – Training and panel on new legislation for wooden buildings (for civil engineers – 109 participants)</w:t>
            </w:r>
          </w:p>
          <w:p>
            <w:pPr/>
            <w:r>
              <w:rPr/>
              <w:t xml:space="preserve"/>
            </w:r>
          </w:p>
          <w:p>
            <w:pPr/>
            <w:r>
              <w:rPr/>
              <w:t xml:space="preserve">08.05.2025 – 2-day training for electrical and mechanical engineers (40 participants)</w:t>
            </w:r>
          </w:p>
          <w:p>
            <w:pPr/>
            <w:r>
              <w:rPr/>
              <w:t xml:space="preserve"/>
            </w:r>
          </w:p>
          <w:p>
            <w:pPr/>
            <w:r>
              <w:rPr/>
              <w:t xml:space="preserve">17, 24, 31.05.2025 – 3-day introductory wood construction training for architects and civil engineers (22 participants)</w:t>
            </w:r>
          </w:p>
          <w:p>
            <w:pPr/>
            <w:r>
              <w:rPr/>
              <w:t xml:space="preserve"/>
            </w:r>
          </w:p>
          <w:p>
            <w:pPr/>
            <w:r>
              <w:rPr/>
              <w:t xml:space="preserve">02.06.2025 – Capacity Building for construction material suppliers on certification (51 Participants)</w:t>
            </w:r>
          </w:p>
          <w:p>
            <w:pPr/>
            <w:r>
              <w:rPr/>
              <w:t xml:space="preserve"/>
            </w:r>
          </w:p>
          <w:p>
            <w:pPr/>
            <w:r>
              <w:rPr/>
              <w:t xml:space="preserve">The General Directorate of Forestry (GDF) has continued the construction of wooden buildings since February 2023 in the earthquake-affected region covering 11 provinces across Türkiye. As highlighted in the previous PIR, the project has placed a strong emphasis on enhancing the capacity of civil, mechanical, and electrical engineers, architects, forestry engineers, and construction material suppliers due to the significant demand and lack of technical knowledge regarding wooden construction.</w:t>
            </w:r>
          </w:p>
          <w:p>
            <w:pPr/>
            <w:r>
              <w:rPr/>
              <w:t xml:space="preserve"/>
            </w:r>
          </w:p>
          <w:p>
            <w:pPr/>
            <w:r>
              <w:rPr/>
              <w:t xml:space="preserve">The project team conducted multiple field visits to GDF construction sites. These visits provided participants with a unique opportunity to observe firsthand how the theoretical knowledge presented during the trainings is applied in real-life construction projects. This hands-on experience proved to be invaluable. GDF has undertaken some of the largest wooden construction projects in Türkiye, simultaneously in different regions.</w:t>
            </w:r>
          </w:p>
          <w:p>
            <w:pPr/>
            <w:r>
              <w:rPr/>
              <w:t xml:space="preserve"/>
            </w:r>
          </w:p>
          <w:p>
            <w:pPr/>
            <w:r>
              <w:rPr/>
              <w:t xml:space="preserve">All participants in these activities have been registered in the project's communication lists and will continue to benefit from project-related updates and opportunities. Although the number of direct beneficiaries officially recorded during this period is 444, the actual number is likely higher, as the count is based solely on signature sheets from attendance records.</w:t>
            </w:r>
          </w:p>
        </w:tc>
      </w:tr>
      <w:tr>
        <w:trPr/>
        <w:tc>
          <w:tcPr>
            <w:tcW w:w="4000" w:type="dxa"/>
            <w:gridSpan w:val="1"/>
            <w:noWrap/>
          </w:tcPr>
          <w:p>
            <w:pPr/>
            <w:r>
              <w:rPr/>
              <w:t xml:space="preserve">Indicator 2: # indirect project beneficiaries disaggregated by gender (individual people)</w:t>
            </w:r>
          </w:p>
        </w:tc>
        <w:tc>
          <w:tcPr>
            <w:tcW w:w="2000" w:type="dxa"/>
            <w:gridSpan w:val="1"/>
            <w:noWrap/>
          </w:tcPr>
          <w:p>
            <w:pPr/>
            <w:r>
              <w:rPr/>
              <w:t xml:space="preserve">Female 0</w:t>
            </w:r>
          </w:p>
          <w:p>
            <w:pPr/>
            <w:r>
              <w:rPr/>
              <w:t xml:space="preserve">Male 0</w:t>
            </w:r>
          </w:p>
          <w:p>
            <w:pPr/>
            <w:r>
              <w:rPr/>
              <w:t xml:space="preserve">Total 0</w:t>
            </w:r>
          </w:p>
          <w:p>
            <w:pPr/>
            <w:r>
              <w:rPr/>
              <w:t xml:space="preserve"/>
            </w:r>
          </w:p>
        </w:tc>
        <w:tc>
          <w:tcPr>
            <w:tcW w:w="2000" w:type="dxa"/>
            <w:gridSpan w:val="1"/>
            <w:noWrap/>
          </w:tcPr>
          <w:p>
            <w:pPr/>
            <w:r>
              <w:rPr/>
              <w:t xml:space="preserve">Female 420</w:t>
            </w:r>
          </w:p>
          <w:p>
            <w:pPr/>
            <w:r>
              <w:rPr/>
              <w:t xml:space="preserve">Male 780</w:t>
            </w:r>
          </w:p>
          <w:p>
            <w:pPr/>
            <w:r>
              <w:rPr/>
              <w:t xml:space="preserve">Total 1,200</w:t>
            </w:r>
          </w:p>
          <w:p>
            <w:pPr/>
            <w:r>
              <w:rPr/>
              <w:t xml:space="preserve"/>
            </w:r>
          </w:p>
        </w:tc>
        <w:tc>
          <w:tcPr>
            <w:tcW w:w="2000" w:type="dxa"/>
            <w:gridSpan w:val="1"/>
            <w:noWrap/>
          </w:tcPr>
          <w:p>
            <w:pPr/>
            <w:r>
              <w:rPr/>
              <w:t xml:space="preserve">Female 5,250</w:t>
            </w:r>
          </w:p>
          <w:p>
            <w:pPr/>
            <w:r>
              <w:rPr/>
              <w:t xml:space="preserve">Male 9,750</w:t>
            </w:r>
          </w:p>
          <w:p>
            <w:pPr/>
            <w:r>
              <w:rPr/>
              <w:t xml:space="preserve">Total 15,000</w:t>
            </w:r>
          </w:p>
          <w:p>
            <w:pPr/>
            <w:r>
              <w:rPr/>
              <w:t xml:space="preserve"/>
            </w:r>
          </w:p>
        </w:tc>
        <w:tc>
          <w:tcPr>
            <w:tcW w:w="4000" w:type="dxa"/>
            <w:gridSpan w:val="1"/>
            <w:noWrap/>
          </w:tcPr>
          <w:p>
            <w:pPr/>
            <w:r>
              <w:rPr/>
              <w:t xml:space="preserve">Female: 0</w:t>
            </w:r>
          </w:p>
          <w:p>
            <w:pPr/>
            <w:r>
              <w:rPr/>
              <w:t xml:space="preserve">Male:0</w:t>
            </w:r>
          </w:p>
          <w:p>
            <w:pPr/>
            <w:r>
              <w:rPr/>
              <w:t xml:space="preserve">Total:0</w:t>
            </w:r>
          </w:p>
          <w:p>
            <w:pPr/>
            <w:r>
              <w:rPr/>
              <w:t xml:space="preserve"/>
            </w:r>
          </w:p>
          <w:p>
            <w:pPr/>
            <w:r>
              <w:rPr/>
              <w:t xml:space="preserve">During this PIR period, GDF, project’s main co-financer, has completed the construction of 4,400sqm of wooden buildings. However, their commissioning and building registration processes were not completed by the end of June’24. Therefore, completed buildings were uninhabited and there is no progress recorded for this PIR period. This will be reported on in future reporting periods.</w:t>
            </w:r>
          </w:p>
          <w:p>
            <w:pPr/>
            <w:r>
              <w:rPr/>
              <w:t xml:space="preserve"/>
            </w:r>
          </w:p>
        </w:tc>
        <w:tc>
          <w:tcPr>
            <w:tcW w:w="4000" w:type="dxa"/>
            <w:gridSpan w:val="1"/>
            <w:noWrap/>
          </w:tcPr>
          <w:p>
            <w:pPr/>
            <w:r>
              <w:rPr/>
              <w:t xml:space="preserve">Female 213</w:t>
            </w:r>
          </w:p>
          <w:p>
            <w:pPr/>
            <w:r>
              <w:rPr/>
              <w:t xml:space="preserve">Male 213</w:t>
            </w:r>
          </w:p>
          <w:p>
            <w:pPr/>
            <w:r>
              <w:rPr/>
              <w:t xml:space="preserve">Total 426</w:t>
            </w:r>
          </w:p>
          <w:p>
            <w:pPr/>
            <w:r>
              <w:rPr/>
              <w:t xml:space="preserve"/>
            </w:r>
          </w:p>
          <w:p>
            <w:pPr/>
            <w:r>
              <w:rPr/>
              <w:t xml:space="preserve">During this PIR period, GDF, the project’s main co-financer, completed the construction of 36,987 square meters of wooden buildings—comprising 31,945 m² of lodgings and 5,042 m² of office space. This includes both commissioning and registration of the buildings. The completed facilities consist of 142 apartment units for personnel and 11 office buildings. Based on GDF’s assumption of an average household size of three people and a 1:1 male-to-female ratio, the total population housed in the lodgings is estimated at 426 individuals (213 males and 213 females). It should be noted that the number of people working in the offices was not included in this calculation, as not all office staff are eligible for housing.</w:t>
            </w:r>
          </w:p>
        </w:tc>
      </w:tr>
      <w:tr>
        <w:trPr/>
        <w:tc>
          <w:tcPr>
            <w:tcW w:w="4000" w:type="dxa"/>
            <w:gridSpan w:val="1"/>
            <w:noWrap/>
          </w:tcPr>
          <w:p>
            <w:pPr/>
            <w:r>
              <w:rPr/>
              <w:t xml:space="preserve">Mandatory GEF Core Indicators 2 - 5:</w:t>
            </w:r>
          </w:p>
          <w:p>
            <w:pPr/>
            <w:r>
              <w:rPr/>
              <w:t xml:space="preserve">Indicator 3: Emissions avoided Outside AFOLU</w:t>
            </w:r>
          </w:p>
          <w:p>
            <w:pPr/>
            <w:r>
              <w:rPr/>
              <w:t xml:space="preserve">Indicator 4: Energy saved</w:t>
            </w:r>
          </w:p>
          <w:p>
            <w:pPr/>
            <w:r>
              <w:rPr/>
              <w:t xml:space="preserve">Indicator 5: Number of direct beneficiaries disaggregated by gender as co-benefit of GEF investment</w:t>
            </w:r>
          </w:p>
          <w:p>
            <w:pPr/>
            <w:r>
              <w:rPr/>
              <w:t xml:space="preserve"/>
            </w:r>
          </w:p>
        </w:tc>
        <w:tc>
          <w:tcPr>
            <w:tcW w:w="2000" w:type="dxa"/>
            <w:gridSpan w:val="1"/>
            <w:noWrap/>
          </w:tcPr>
          <w:p>
            <w:pPr/>
            <w:r>
              <w:rPr/>
              <w:t xml:space="preserve">0</w:t>
            </w:r>
          </w:p>
          <w:p>
            <w:pPr/>
            <w:r>
              <w:rPr/>
              <w:t xml:space="preserve">0</w:t>
            </w:r>
          </w:p>
          <w:p>
            <w:pPr/>
            <w:r>
              <w:rPr/>
              <w:t xml:space="preserve">Female 0</w:t>
            </w:r>
          </w:p>
          <w:p>
            <w:pPr/>
            <w:r>
              <w:rPr/>
              <w:t xml:space="preserve">Male 0</w:t>
            </w:r>
          </w:p>
          <w:p>
            <w:pPr/>
            <w:r>
              <w:rPr/>
              <w:t xml:space="preserve">Total 0</w:t>
            </w:r>
          </w:p>
          <w:p>
            <w:pPr/>
            <w:r>
              <w:rPr/>
              <w:t xml:space="preserve"/>
            </w:r>
          </w:p>
        </w:tc>
        <w:tc>
          <w:tcPr>
            <w:tcW w:w="2000" w:type="dxa"/>
            <w:gridSpan w:val="1"/>
            <w:noWrap/>
          </w:tcPr>
          <w:p>
            <w:pPr/>
            <w:r>
              <w:rPr/>
              <w:t xml:space="preserve">12,000 t CO2e</w:t>
            </w:r>
          </w:p>
          <w:p>
            <w:pPr/>
            <w:r>
              <w:rPr/>
              <w:t xml:space="preserve">108 TJ</w:t>
            </w:r>
          </w:p>
          <w:p>
            <w:pPr/>
            <w:r>
              <w:rPr/>
              <w:t xml:space="preserve">Female 65</w:t>
            </w:r>
          </w:p>
          <w:p>
            <w:pPr/>
            <w:r>
              <w:rPr/>
              <w:t xml:space="preserve">Male 115</w:t>
            </w:r>
          </w:p>
          <w:p>
            <w:pPr/>
            <w:r>
              <w:rPr/>
              <w:t xml:space="preserve">Total 180</w:t>
            </w:r>
          </w:p>
          <w:p>
            <w:pPr/>
            <w:r>
              <w:rPr/>
              <w:t xml:space="preserve"/>
            </w:r>
          </w:p>
        </w:tc>
        <w:tc>
          <w:tcPr>
            <w:tcW w:w="2000" w:type="dxa"/>
            <w:gridSpan w:val="1"/>
            <w:noWrap/>
          </w:tcPr>
          <w:p>
            <w:pPr/>
            <w:r>
              <w:rPr/>
              <w:t xml:space="preserve">165,715 t CO2e</w:t>
            </w:r>
          </w:p>
          <w:p>
            <w:pPr/>
            <w:r>
              <w:rPr/>
              <w:t xml:space="preserve">1,433 TJ</w:t>
            </w:r>
          </w:p>
          <w:p>
            <w:pPr/>
            <w:r>
              <w:rPr/>
              <w:t xml:space="preserve">Female 315</w:t>
            </w:r>
          </w:p>
          <w:p>
            <w:pPr/>
            <w:r>
              <w:rPr/>
              <w:t xml:space="preserve">Male 585</w:t>
            </w:r>
          </w:p>
          <w:p>
            <w:pPr/>
            <w:r>
              <w:rPr/>
              <w:t xml:space="preserve">Total 900</w:t>
            </w:r>
          </w:p>
          <w:p>
            <w:pPr/>
            <w:r>
              <w:rPr/>
              <w:t xml:space="preserve"/>
            </w:r>
          </w:p>
        </w:tc>
        <w:tc>
          <w:tcPr>
            <w:tcW w:w="4000" w:type="dxa"/>
            <w:gridSpan w:val="1"/>
            <w:noWrap/>
          </w:tcPr>
          <w:p>
            <w:pPr/>
            <w:r>
              <w:rPr/>
              <w:t xml:space="preserve">0 tC02e</w:t>
            </w:r>
          </w:p>
          <w:p>
            <w:pPr/>
            <w:r>
              <w:rPr/>
              <w:t xml:space="preserve">0 TJ</w:t>
            </w:r>
          </w:p>
          <w:p>
            <w:pPr/>
            <w:r>
              <w:rPr/>
              <w:t xml:space="preserve">During this PIR period 4,400sqm of wooden building construction was completed, but the buildings were not inhabited yet as their final acceptance procedures were not finalized. For that reason, 0 is reported on both sub-indicators.</w:t>
            </w:r>
          </w:p>
          <w:p>
            <w:pPr/>
            <w:r>
              <w:rPr/>
              <w:t xml:space="preserve">Commissioning of the buildings will be finalized by the GDF towards the end of Summer’24 and their building registration procedures are expected to be completed by the end of 2024.</w:t>
            </w:r>
          </w:p>
          <w:p>
            <w:pPr/>
            <w:r>
              <w:rPr/>
              <w:t xml:space="preserve"/>
            </w:r>
          </w:p>
          <w:p>
            <w:pPr/>
            <w:r>
              <w:rPr/>
              <w:t xml:space="preserve">Female: 10</w:t>
            </w:r>
          </w:p>
          <w:p>
            <w:pPr/>
            <w:r>
              <w:rPr/>
              <w:t xml:space="preserve">Male: 56</w:t>
            </w:r>
          </w:p>
          <w:p>
            <w:pPr/>
            <w:r>
              <w:rPr/>
              <w:t xml:space="preserve">Total: 66This indicator refers to number of total participants (sum of Indicators 11 and 12) in annual CLT workshops, capacity building and awareness.</w:t>
            </w:r>
          </w:p>
          <w:p>
            <w:pPr/>
            <w:r>
              <w:rPr/>
              <w:t xml:space="preserve"/>
            </w:r>
          </w:p>
          <w:p>
            <w:pPr/>
            <w:r>
              <w:rPr/>
              <w:t xml:space="preserve">As explained in the indicator 1 section of the DO Progress table, the project successfully delivered its first training for the GDF’s civil, mechanical and electrical engineers and architects who are going to be commissioning the GDF’s wooden buildings. Those personnel will continue to be the part of the project till its closure.</w:t>
            </w:r>
          </w:p>
        </w:tc>
        <w:tc>
          <w:tcPr>
            <w:tcW w:w="4000" w:type="dxa"/>
            <w:gridSpan w:val="1"/>
            <w:noWrap/>
          </w:tcPr>
          <w:p>
            <w:pPr/>
            <w:r>
              <w:rPr/>
              <w:t xml:space="preserve">10,652.27 t CO2e</w:t>
            </w:r>
          </w:p>
          <w:p>
            <w:pPr/>
            <w:r>
              <w:rPr/>
              <w:t xml:space="preserve">92.10 TJ</w:t>
            </w:r>
          </w:p>
          <w:p>
            <w:pPr/>
            <w:r>
              <w:rPr/>
              <w:t xml:space="preserve"/>
            </w:r>
          </w:p>
          <w:p>
            <w:pPr/>
            <w:r>
              <w:rPr/>
              <w:t xml:space="preserve">Emissions avoided are calculated as follows:</w:t>
            </w:r>
          </w:p>
          <w:p>
            <w:pPr/>
            <w:r>
              <w:rPr/>
              <w:t xml:space="preserve"/>
            </w:r>
          </w:p>
          <w:p>
            <w:pPr/>
            <w:r>
              <w:rPr/>
              <w:t xml:space="preserve">CO₂e emissions are estimated using a value of 0.288 tCO₂e/m², based on an average greenhouse gas (GHG) reduction of 0.288 tonnes of CO₂ per square meter of constructed floor space when substituting wood for cement.</w:t>
            </w:r>
          </w:p>
          <w:p>
            <w:pPr/>
            <w:r>
              <w:rPr/>
              <w:t xml:space="preserve"/>
            </w:r>
          </w:p>
          <w:p>
            <w:pPr/>
            <w:r>
              <w:rPr/>
              <w:t xml:space="preserve">Calculation:</w:t>
            </w:r>
          </w:p>
          <w:p>
            <w:pPr/>
            <w:r>
              <w:rPr/>
              <w:t xml:space="preserve">0.288 tCO₂e/m² × 36,987 m² = 10,652.27 tCO₂e</w:t>
            </w:r>
          </w:p>
          <w:p>
            <w:pPr/>
            <w:r>
              <w:rPr/>
              <w:t xml:space="preserve"/>
            </w:r>
          </w:p>
          <w:p>
            <w:pPr/>
            <w:r>
              <w:rPr/>
              <w:t xml:space="preserve">Additionally, the energy content is calculated as:</w:t>
            </w:r>
          </w:p>
          <w:p>
            <w:pPr/>
            <w:r>
              <w:rPr/>
              <w:t xml:space="preserve">36,987 m² × 2,490 MJ/m² = 92,097,630 MJ</w:t>
            </w:r>
          </w:p>
          <w:p>
            <w:pPr/>
            <w:r>
              <w:rPr/>
              <w:t xml:space="preserve"/>
            </w:r>
          </w:p>
          <w:p>
            <w:pPr/>
            <w:r>
              <w:rPr/>
              <w:t xml:space="preserve">(The 2,490 MJ/m² figure is sourced from the ProDoc.)</w:t>
            </w:r>
          </w:p>
          <w:p>
            <w:pPr/>
            <w:r>
              <w:rPr/>
              <w:t xml:space="preserve"/>
            </w:r>
          </w:p>
          <w:p>
            <w:pPr/>
            <w:r>
              <w:rPr/>
              <w:t xml:space="preserve">Female 105</w:t>
            </w:r>
          </w:p>
          <w:p>
            <w:pPr/>
            <w:r>
              <w:rPr/>
              <w:t xml:space="preserve">Male 405</w:t>
            </w:r>
          </w:p>
          <w:p>
            <w:pPr/>
            <w:r>
              <w:rPr/>
              <w:t xml:space="preserve">Total 510</w:t>
            </w:r>
          </w:p>
          <w:p>
            <w:pPr/>
            <w:r>
              <w:rPr/>
              <w:t xml:space="preserve"/>
            </w:r>
          </w:p>
          <w:p>
            <w:pPr/>
            <w:r>
              <w:rPr/>
              <w:t xml:space="preserve">This indicator refers to the total number of participants to workshops, capacity building and awareness raising activities.</w:t>
            </w:r>
          </w:p>
          <w:p>
            <w:pPr/>
            <w:r>
              <w:rPr/>
              <w:t xml:space="preserve"/>
            </w:r>
          </w:p>
          <w:p>
            <w:pPr/>
            <w:r>
              <w:rPr/>
              <w:t xml:space="preserve">As detailed in the Indicator 1 section of the DO Progress Table, those participants will remain engaged in the project until its completion</w:t>
            </w:r>
          </w:p>
        </w:tc>
      </w:tr>
      <w:tr>
        <w:trPr/>
        <w:tc>
          <w:tcPr>
            <w:tcW w:w="4000" w:type="dxa"/>
            <w:gridSpan w:val="1"/>
            <w:noWrap/>
          </w:tcPr>
          <w:p>
            <w:pPr/>
            <w:r>
              <w:rPr>
                <w:b w:val="1"/>
                <w:bCs w:val="1"/>
              </w:rPr>
              <w:t xml:space="preserve">The progress of the objective/outcome can be described as:</w:t>
            </w:r>
          </w:p>
        </w:tc>
        <w:tc>
          <w:tcPr>
            <w:tcW w:w="12000" w:type="dxa"/>
            <w:gridSpan w:val="5"/>
            <w:noWrap/>
          </w:tcPr>
          <w:p>
            <w:pPr/>
            <w:r>
              <w:rPr>
                <w:b w:val="1"/>
                <w:bCs w:val="1"/>
              </w:rPr>
              <w:t xml:space="preserve">On track</w:t>
            </w:r>
          </w:p>
        </w:tc>
      </w:tr>
      <w:tr>
        <w:trPr/>
        <w:tc>
          <w:tcPr>
            <w:tcW w:w="4000" w:type="dxa"/>
            <w:gridSpan w:val="1"/>
            <w:noWrap/>
          </w:tcPr>
          <w:p>
            <w:pPr/>
            <w:r>
              <w:rPr>
                <w:b w:val="1"/>
                <w:bCs w:val="1"/>
              </w:rPr>
              <w:t xml:space="preserve">Evidence uploaded:</w:t>
            </w:r>
          </w:p>
        </w:tc>
        <w:tc>
          <w:tcPr>
            <w:tcW w:w="12000" w:type="dxa"/>
            <w:gridSpan w:val="5"/>
            <w:noWrap/>
          </w:tcPr>
          <w:p>
            <w:pPr/>
            <w:r>
              <w:rPr/>
              <w:t xml:space="preserve">YES</w:t>
            </w:r>
          </w:p>
        </w:tc>
      </w:tr>
      <w:tr>
        <w:trPr/>
        <w:tc>
          <w:tcPr>
            <w:tcW w:w="16000" w:type="dxa"/>
            <w:shd w:val="clear" w:fill="#D9D9D9"/>
            <w:gridSpan w:val="7"/>
            <w:noWrap/>
          </w:tcPr>
          <w:p>
            <w:pPr/>
            <w:r>
              <w:rPr>
                <w:b w:val="1"/>
                <w:bCs w:val="1"/>
              </w:rPr>
              <w:t xml:space="preserve">Outcome 1</w:t>
            </w:r>
          </w:p>
          <w:p>
            <w:pPr/>
            <w:r>
              <w:rPr>
                <w:b w:val="1"/>
                <w:bCs w:val="1"/>
              </w:rPr>
              <w:t xml:space="preserve">Enhanced Legislation and Regulations</w:t>
            </w:r>
          </w:p>
          <w:p>
            <w:pPr/>
            <w:r>
              <w:rPr>
                <w:b w:val="1"/>
                <w:bCs w:val="1"/>
              </w:rPr>
              <w:t xml:space="preserve"/>
            </w:r>
          </w:p>
        </w:tc>
      </w:tr>
      <w:tr>
        <w:trPr/>
        <w:tc>
          <w:tcPr>
            <w:tcW w:w="4000" w:type="dxa"/>
            <w:gridSpan w:val="1"/>
            <w:noWrap/>
          </w:tcPr>
          <w:p>
            <w:pPr/>
            <w:r>
              <w:rPr>
                <w:b w:val="1"/>
                <w:bCs w:val="1"/>
              </w:rPr>
              <w:t xml:space="preserve">Description of Indicator</w:t>
            </w:r>
          </w:p>
        </w:tc>
        <w:tc>
          <w:tcPr>
            <w:tcW w:w="2000" w:type="dxa"/>
            <w:gridSpan w:val="1"/>
            <w:noWrap/>
          </w:tcPr>
          <w:p>
            <w:pPr/>
            <w:r>
              <w:rPr>
                <w:b w:val="1"/>
                <w:bCs w:val="1"/>
              </w:rPr>
              <w:t xml:space="preserve">Baseline Level</w:t>
            </w:r>
          </w:p>
        </w:tc>
        <w:tc>
          <w:tcPr>
            <w:tcW w:w="2000" w:type="dxa"/>
            <w:gridSpan w:val="1"/>
            <w:noWrap/>
          </w:tcPr>
          <w:p>
            <w:pPr/>
            <w:r>
              <w:rPr>
                <w:b w:val="1"/>
                <w:bCs w:val="1"/>
              </w:rPr>
              <w:t xml:space="preserve">Midterm target level</w:t>
            </w:r>
          </w:p>
        </w:tc>
        <w:tc>
          <w:tcPr>
            <w:tcW w:w="2000" w:type="dxa"/>
            <w:gridSpan w:val="1"/>
            <w:noWrap/>
          </w:tcPr>
          <w:p>
            <w:pPr/>
            <w:r>
              <w:rPr>
                <w:b w:val="1"/>
                <w:bCs w:val="1"/>
              </w:rPr>
              <w:t xml:space="preserve">End of project target level</w:t>
            </w:r>
          </w:p>
        </w:tc>
        <w:tc>
          <w:tcPr>
            <w:tcW w:w="4000" w:type="dxa"/>
            <w:gridSpan w:val="1"/>
            <w:noWrap/>
          </w:tcPr>
          <w:p>
            <w:pPr/>
            <w:r>
              <w:rPr>
                <w:b w:val="1"/>
                <w:bCs w:val="1"/>
              </w:rPr>
              <w:t xml:space="preserve">Level at Jun 30, 2024</w:t>
            </w:r>
          </w:p>
        </w:tc>
        <w:tc>
          <w:tcPr>
            <w:tcW w:w="4000" w:type="dxa"/>
            <w:gridSpan w:val="1"/>
            <w:noWrap/>
          </w:tcPr>
          <w:p>
            <w:pPr/>
            <w:r>
              <w:rPr>
                <w:b w:val="1"/>
                <w:bCs w:val="1"/>
              </w:rPr>
              <w:t xml:space="preserve">Cumulative progress since project start as of Jun 30, 2025</w:t>
            </w:r>
          </w:p>
        </w:tc>
      </w:tr>
      <w:tr>
        <w:trPr/>
        <w:tc>
          <w:tcPr>
            <w:tcW w:w="4000" w:type="dxa"/>
            <w:gridSpan w:val="1"/>
            <w:noWrap/>
          </w:tcPr>
          <w:p>
            <w:pPr/>
            <w:r>
              <w:rPr/>
              <w:t xml:space="preserve">Indicator 6: National strategy on low cost energy efficient wooden buildings</w:t>
            </w:r>
          </w:p>
        </w:tc>
        <w:tc>
          <w:tcPr>
            <w:tcW w:w="2000" w:type="dxa"/>
            <w:gridSpan w:val="1"/>
            <w:noWrap/>
          </w:tcPr>
          <w:p>
            <w:pPr/>
            <w:r>
              <w:rPr/>
              <w:t xml:space="preserve">No national strategy</w:t>
            </w:r>
          </w:p>
        </w:tc>
        <w:tc>
          <w:tcPr>
            <w:tcW w:w="2000" w:type="dxa"/>
            <w:gridSpan w:val="1"/>
            <w:noWrap/>
          </w:tcPr>
          <w:p>
            <w:pPr/>
            <w:r>
              <w:rPr/>
              <w:t xml:space="preserve">1 National strategy on low cost energy efficient wooden buildings is prepared</w:t>
            </w:r>
          </w:p>
          <w:p>
            <w:pPr/>
            <w:r>
              <w:rPr/>
              <w:t xml:space="preserve">At least 10 stakeholders have actively participated in the development of the strategy</w:t>
            </w:r>
          </w:p>
          <w:p>
            <w:pPr/>
            <w:r>
              <w:rPr/>
              <w:t xml:space="preserve"/>
            </w:r>
          </w:p>
        </w:tc>
        <w:tc>
          <w:tcPr>
            <w:tcW w:w="2000" w:type="dxa"/>
            <w:gridSpan w:val="1"/>
            <w:noWrap/>
          </w:tcPr>
          <w:p>
            <w:pPr/>
            <w:r>
              <w:rPr/>
              <w:t xml:space="preserve">1 National strategy on low cost energy efficient wooden buildings is prepared</w:t>
            </w:r>
          </w:p>
          <w:p>
            <w:pPr/>
            <w:r>
              <w:rPr/>
              <w:t xml:space="preserve">At least 10 stakeholders have actively participated in the development of the strategy</w:t>
            </w:r>
          </w:p>
          <w:p>
            <w:pPr/>
            <w:r>
              <w:rPr/>
              <w:t xml:space="preserve"/>
            </w:r>
          </w:p>
        </w:tc>
        <w:tc>
          <w:tcPr>
            <w:tcW w:w="4000" w:type="dxa"/>
            <w:gridSpan w:val="1"/>
            <w:noWrap/>
          </w:tcPr>
          <w:p>
            <w:pPr/>
            <w:r>
              <w:rPr/>
              <w:t xml:space="preserve">No progress had been achieved during this period regarding this indicator</w:t>
            </w:r>
          </w:p>
          <w:p>
            <w:pPr/>
            <w:r>
              <w:rPr/>
              <w:t xml:space="preserve"/>
            </w:r>
          </w:p>
          <w:p>
            <w:pPr/>
            <w:r>
              <w:rPr/>
              <w:t xml:space="preserve">GDF is having difficulty hiring long term international and national consultants due to its legislation – which has led to shorter contracts that present not the most optimal modality for the staff/consultants that are/to be deployed by this project. GDF is also bound to sign Turkish Lira based contracts with the vendors, which might discourage certain vendors, especially international consultants given the high inflation and currency depreciation rate in the country. UNDP has been approached by the GDF to explore the possibility for providing implementation support with hiring of the consultants in view of the legislative constraints. The analysis of the possible options to ensure availability of international expertise for the project will be done.</w:t>
            </w:r>
          </w:p>
          <w:p>
            <w:pPr/>
            <w:r>
              <w:rPr/>
              <w:t xml:space="preserve"/>
            </w:r>
          </w:p>
          <w:p>
            <w:pPr/>
            <w:r>
              <w:rPr/>
              <w:t xml:space="preserve">However, the project team contacted Ministry of Environment, Urbanization and Climate Change (MoEUC) which is the responsible body for Turkish Building Code, and AFAD (Türkiye's Disaster and Emergency Management Presidency) which is responsible for Turkish Earthquake Building Design Code, to participate in  the development of the national strategy on wooden buildings.</w:t>
            </w:r>
          </w:p>
        </w:tc>
        <w:tc>
          <w:tcPr>
            <w:tcW w:w="4000" w:type="dxa"/>
            <w:gridSpan w:val="1"/>
            <w:noWrap/>
          </w:tcPr>
          <w:p>
            <w:pPr/>
            <w:r>
              <w:rPr/>
              <w:t xml:space="preserve">Due to procurement challenges within the General Directorate of Forestry (GDF), full engagement of experts could not be achieved during the previous PIR period. However, in the current period, partial agreements were made with national consultants (mainly academicians) to support legislative work.</w:t>
            </w:r>
          </w:p>
          <w:p>
            <w:pPr/>
            <w:r>
              <w:rPr/>
              <w:t xml:space="preserve"/>
            </w:r>
          </w:p>
          <w:p>
            <w:pPr/>
            <w:r>
              <w:rPr/>
              <w:t xml:space="preserve">AFAD (Disaster and Emergency Management Authority), the agency responsible for the Earthquake Regulation for Buildings, plays a key role in this area. Without changes to the existing regulation, the current restrictions on building height cannot be lifted. As a result, this issue was prioritized in all legislative activities. The project aims to first support the revision of Türkiye’s earthquake regulation.</w:t>
            </w:r>
          </w:p>
          <w:p>
            <w:pPr/>
            <w:r>
              <w:rPr/>
              <w:t xml:space="preserve"/>
            </w:r>
          </w:p>
          <w:p>
            <w:pPr/>
            <w:r>
              <w:rPr/>
              <w:t xml:space="preserve">The project is also taking a leading role in the development of a national wooden building regulation. The dissemination component of this work is being supported by the project. A national workshop/meeting was organized, with the initial goal of raising awareness. Due to the limited capacity in the public sector regarding wooden construction, the workshop primarily served as a one-way informational and educational event. Strengthening public institutions so they can contribute effectively to strategy development remains essential.</w:t>
            </w:r>
          </w:p>
          <w:p>
            <w:pPr/>
            <w:r>
              <w:rPr/>
              <w:t xml:space="preserve"/>
            </w:r>
          </w:p>
          <w:p>
            <w:pPr/>
            <w:r>
              <w:rPr/>
              <w:t xml:space="preserve">Academicians are currently being funded for their involvement in revising AFAD’s earthquake regulations for buildings.</w:t>
            </w:r>
          </w:p>
          <w:p>
            <w:pPr/>
            <w:r>
              <w:rPr/>
              <w:t xml:space="preserve"/>
            </w:r>
          </w:p>
          <w:p>
            <w:pPr/>
            <w:r>
              <w:rPr/>
              <w:t xml:space="preserve">Participating Public Institutions:</w:t>
            </w:r>
          </w:p>
          <w:p>
            <w:pPr/>
            <w:r>
              <w:rPr/>
              <w:t xml:space="preserve"/>
            </w:r>
          </w:p>
          <w:p>
            <w:pPr/>
            <w:r>
              <w:rPr/>
              <w:t xml:space="preserve">- Presidency of Strategy and Budget</w:t>
            </w:r>
          </w:p>
          <w:p>
            <w:pPr/>
            <w:r>
              <w:rPr/>
              <w:t xml:space="preserve">- Ministry of Environment, Urbanization and Climate Change</w:t>
            </w:r>
          </w:p>
          <w:p>
            <w:pPr/>
            <w:r>
              <w:rPr/>
              <w:t xml:space="preserve">- Ministry of National Education</w:t>
            </w:r>
          </w:p>
          <w:p>
            <w:pPr/>
            <w:r>
              <w:rPr/>
              <w:t xml:space="preserve">- TOKİ (Housing Development Administration)</w:t>
            </w:r>
          </w:p>
          <w:p>
            <w:pPr/>
            <w:r>
              <w:rPr/>
              <w:t xml:space="preserve">- General Directorate of Highways</w:t>
            </w:r>
          </w:p>
          <w:p>
            <w:pPr/>
            <w:r>
              <w:rPr/>
              <w:t xml:space="preserve">- State Hydraulic Works (DSİ)</w:t>
            </w:r>
          </w:p>
          <w:p>
            <w:pPr/>
            <w:r>
              <w:rPr/>
              <w:t xml:space="preserve">- Directorate General of Nature Conservation and National Parks</w:t>
            </w:r>
          </w:p>
          <w:p>
            <w:pPr/>
            <w:r>
              <w:rPr/>
              <w:t xml:space="preserve">- PTT (Post and Telegraph Organization)</w:t>
            </w:r>
          </w:p>
          <w:p>
            <w:pPr/>
            <w:r>
              <w:rPr/>
              <w:t xml:space="preserve">- Grand National Assembly of Türkiye (TBMM)</w:t>
            </w:r>
          </w:p>
          <w:p>
            <w:pPr/>
            <w:r>
              <w:rPr/>
              <w:t xml:space="preserve"/>
            </w:r>
          </w:p>
          <w:p>
            <w:pPr/>
            <w:r>
              <w:rPr/>
              <w:t xml:space="preserve">Additional documentation includes:</w:t>
            </w:r>
          </w:p>
          <w:p>
            <w:pPr/>
            <w:r>
              <w:rPr/>
              <w:t xml:space="preserve">Official letter to AFAD to request revision on Earthquake Building Code</w:t>
            </w:r>
          </w:p>
        </w:tc>
      </w:tr>
      <w:tr>
        <w:trPr/>
        <w:tc>
          <w:tcPr>
            <w:tcW w:w="4000" w:type="dxa"/>
            <w:gridSpan w:val="1"/>
            <w:noWrap/>
          </w:tcPr>
          <w:p>
            <w:pPr/>
            <w:r>
              <w:rPr/>
              <w:t xml:space="preserve">Indicator 7: Legal and regulatory framework on low cost energy efficient wooden buildings</w:t>
            </w:r>
          </w:p>
        </w:tc>
        <w:tc>
          <w:tcPr>
            <w:tcW w:w="2000" w:type="dxa"/>
            <w:gridSpan w:val="1"/>
            <w:noWrap/>
          </w:tcPr>
          <w:p>
            <w:pPr/>
            <w:r>
              <w:rPr/>
              <w:t xml:space="preserve">No standards and guidelines</w:t>
            </w:r>
          </w:p>
        </w:tc>
        <w:tc>
          <w:tcPr>
            <w:tcW w:w="2000" w:type="dxa"/>
            <w:gridSpan w:val="1"/>
            <w:noWrap/>
          </w:tcPr>
          <w:p>
            <w:pPr/>
            <w:r>
              <w:rPr/>
              <w:t xml:space="preserve">1 new standard has been prepared</w:t>
            </w:r>
          </w:p>
          <w:p>
            <w:pPr/>
            <w:r>
              <w:rPr/>
              <w:t xml:space="preserve">1 new guideline has been prepared</w:t>
            </w:r>
          </w:p>
          <w:p>
            <w:pPr/>
            <w:r>
              <w:rPr/>
              <w:t xml:space="preserve"/>
            </w:r>
          </w:p>
        </w:tc>
        <w:tc>
          <w:tcPr>
            <w:tcW w:w="2000" w:type="dxa"/>
            <w:gridSpan w:val="1"/>
            <w:noWrap/>
          </w:tcPr>
          <w:p>
            <w:pPr/>
            <w:r>
              <w:rPr/>
              <w:t xml:space="preserve">1 new standard has been prepared</w:t>
            </w:r>
          </w:p>
          <w:p>
            <w:pPr/>
            <w:r>
              <w:rPr/>
              <w:t xml:space="preserve">1 new guideline has been prepared</w:t>
            </w:r>
          </w:p>
          <w:p>
            <w:pPr/>
            <w:r>
              <w:rPr/>
              <w:t xml:space="preserve"/>
            </w:r>
          </w:p>
        </w:tc>
        <w:tc>
          <w:tcPr>
            <w:tcW w:w="4000" w:type="dxa"/>
            <w:gridSpan w:val="1"/>
            <w:noWrap/>
          </w:tcPr>
          <w:p>
            <w:pPr/>
            <w:r>
              <w:rPr/>
              <w:t xml:space="preserve">The project activity around the development of the legal and regulatory framework has not been initiated yet.    This is due to the procurement related problems arising from the GDF’s administrative structure which creates problems for hiring of consultants as explained in Indicator 6.</w:t>
            </w:r>
          </w:p>
        </w:tc>
        <w:tc>
          <w:tcPr>
            <w:tcW w:w="4000" w:type="dxa"/>
            <w:gridSpan w:val="1"/>
            <w:noWrap/>
          </w:tcPr>
          <w:p>
            <w:pPr/>
            <w:r>
              <w:rPr/>
              <w:t xml:space="preserve">Due to procurement challenges faced by the General Directorate of Forestry (GDF), it was not possible to engage consultants during the previous reporting period. However, in the current period, partial agreements have been made with several scholars, and groundwork studies have commenced. Since formal contracts could not be signed due to ongoing procurement issues, the experts who were preliminarily engaged began preparing background materials. An initial draft was produced; however, it was not finalized in time to be included as an output in this PIR period. Please see the draft work in evidence section.</w:t>
            </w:r>
          </w:p>
        </w:tc>
      </w:tr>
      <w:tr>
        <w:trPr/>
        <w:tc>
          <w:tcPr>
            <w:tcW w:w="4000" w:type="dxa"/>
            <w:gridSpan w:val="1"/>
            <w:noWrap/>
          </w:tcPr>
          <w:p>
            <w:pPr/>
            <w:r>
              <w:rPr>
                <w:b w:val="1"/>
                <w:bCs w:val="1"/>
              </w:rPr>
              <w:t xml:space="preserve">The progress of the objective/outcome can be described as:</w:t>
            </w:r>
          </w:p>
        </w:tc>
        <w:tc>
          <w:tcPr>
            <w:tcW w:w="12000" w:type="dxa"/>
            <w:gridSpan w:val="5"/>
            <w:noWrap/>
          </w:tcPr>
          <w:p>
            <w:pPr/>
            <w:r>
              <w:rPr>
                <w:b w:val="1"/>
                <w:bCs w:val="1"/>
              </w:rPr>
              <w:t xml:space="preserve">Off track</w:t>
            </w:r>
          </w:p>
        </w:tc>
      </w:tr>
      <w:tr>
        <w:trPr/>
        <w:tc>
          <w:tcPr>
            <w:tcW w:w="4000" w:type="dxa"/>
            <w:gridSpan w:val="1"/>
            <w:noWrap/>
          </w:tcPr>
          <w:p>
            <w:pPr/>
            <w:r>
              <w:rPr>
                <w:b w:val="1"/>
                <w:bCs w:val="1"/>
              </w:rPr>
              <w:t xml:space="preserve">Evidence uploaded:</w:t>
            </w:r>
          </w:p>
        </w:tc>
        <w:tc>
          <w:tcPr>
            <w:tcW w:w="12000" w:type="dxa"/>
            <w:gridSpan w:val="5"/>
            <w:noWrap/>
          </w:tcPr>
          <w:p>
            <w:pPr/>
            <w:r>
              <w:rPr/>
              <w:t xml:space="preserve">YES</w:t>
            </w:r>
          </w:p>
        </w:tc>
      </w:tr>
      <w:tr>
        <w:trPr/>
        <w:tc>
          <w:tcPr>
            <w:tcW w:w="16000" w:type="dxa"/>
            <w:shd w:val="clear" w:fill="#D9D9D9"/>
            <w:gridSpan w:val="7"/>
            <w:noWrap/>
          </w:tcPr>
          <w:p>
            <w:pPr/>
            <w:r>
              <w:rPr>
                <w:b w:val="1"/>
                <w:bCs w:val="1"/>
              </w:rPr>
              <w:t xml:space="preserve">Outcome 2</w:t>
            </w:r>
          </w:p>
          <w:p>
            <w:pPr/>
            <w:r>
              <w:rPr>
                <w:b w:val="1"/>
                <w:bCs w:val="1"/>
              </w:rPr>
              <w:t xml:space="preserve">Stronger Institutional Support within the Ministry of Agriculture and Forestry and GDF for supporting construction from wood in Türkiye</w:t>
            </w:r>
          </w:p>
        </w:tc>
      </w:tr>
      <w:tr>
        <w:trPr/>
        <w:tc>
          <w:tcPr>
            <w:tcW w:w="4000" w:type="dxa"/>
            <w:gridSpan w:val="1"/>
            <w:noWrap/>
          </w:tcPr>
          <w:p>
            <w:pPr/>
            <w:r>
              <w:rPr>
                <w:b w:val="1"/>
                <w:bCs w:val="1"/>
              </w:rPr>
              <w:t xml:space="preserve">Description of Indicator</w:t>
            </w:r>
          </w:p>
        </w:tc>
        <w:tc>
          <w:tcPr>
            <w:tcW w:w="2000" w:type="dxa"/>
            <w:gridSpan w:val="1"/>
            <w:noWrap/>
          </w:tcPr>
          <w:p>
            <w:pPr/>
            <w:r>
              <w:rPr>
                <w:b w:val="1"/>
                <w:bCs w:val="1"/>
              </w:rPr>
              <w:t xml:space="preserve">Baseline Level</w:t>
            </w:r>
          </w:p>
        </w:tc>
        <w:tc>
          <w:tcPr>
            <w:tcW w:w="2000" w:type="dxa"/>
            <w:gridSpan w:val="1"/>
            <w:noWrap/>
          </w:tcPr>
          <w:p>
            <w:pPr/>
            <w:r>
              <w:rPr>
                <w:b w:val="1"/>
                <w:bCs w:val="1"/>
              </w:rPr>
              <w:t xml:space="preserve">Midterm target level</w:t>
            </w:r>
          </w:p>
        </w:tc>
        <w:tc>
          <w:tcPr>
            <w:tcW w:w="2000" w:type="dxa"/>
            <w:gridSpan w:val="1"/>
            <w:noWrap/>
          </w:tcPr>
          <w:p>
            <w:pPr/>
            <w:r>
              <w:rPr>
                <w:b w:val="1"/>
                <w:bCs w:val="1"/>
              </w:rPr>
              <w:t xml:space="preserve">End of project target level</w:t>
            </w:r>
          </w:p>
        </w:tc>
        <w:tc>
          <w:tcPr>
            <w:tcW w:w="4000" w:type="dxa"/>
            <w:gridSpan w:val="1"/>
            <w:noWrap/>
          </w:tcPr>
          <w:p>
            <w:pPr/>
            <w:r>
              <w:rPr>
                <w:b w:val="1"/>
                <w:bCs w:val="1"/>
              </w:rPr>
              <w:t xml:space="preserve">Level at Jun 30, 2024</w:t>
            </w:r>
          </w:p>
        </w:tc>
        <w:tc>
          <w:tcPr>
            <w:tcW w:w="4000" w:type="dxa"/>
            <w:gridSpan w:val="1"/>
            <w:noWrap/>
          </w:tcPr>
          <w:p>
            <w:pPr/>
            <w:r>
              <w:rPr>
                <w:b w:val="1"/>
                <w:bCs w:val="1"/>
              </w:rPr>
              <w:t xml:space="preserve">Cumulative progress since project start as of Jun 30, 2025</w:t>
            </w:r>
          </w:p>
        </w:tc>
      </w:tr>
      <w:tr>
        <w:trPr/>
        <w:tc>
          <w:tcPr>
            <w:tcW w:w="4000" w:type="dxa"/>
            <w:gridSpan w:val="1"/>
            <w:noWrap/>
          </w:tcPr>
          <w:p>
            <w:pPr/>
            <w:r>
              <w:rPr/>
              <w:t xml:space="preserve">Indicator 8: Institutional structure to support low cost energy efficient buildings</w:t>
            </w:r>
          </w:p>
        </w:tc>
        <w:tc>
          <w:tcPr>
            <w:tcW w:w="2000" w:type="dxa"/>
            <w:gridSpan w:val="1"/>
            <w:noWrap/>
          </w:tcPr>
          <w:p>
            <w:pPr/>
            <w:r>
              <w:rPr/>
              <w:t xml:space="preserve">No Wood Promotion for Sustainable Wood Construction Working Unit</w:t>
            </w:r>
          </w:p>
        </w:tc>
        <w:tc>
          <w:tcPr>
            <w:tcW w:w="2000" w:type="dxa"/>
            <w:gridSpan w:val="1"/>
            <w:noWrap/>
          </w:tcPr>
          <w:p>
            <w:pPr/>
            <w:r>
              <w:rPr/>
              <w:t xml:space="preserve">Wood Promotion for Sustainable Wood Construction Working Unit is established under GDF</w:t>
            </w:r>
          </w:p>
        </w:tc>
        <w:tc>
          <w:tcPr>
            <w:tcW w:w="2000" w:type="dxa"/>
            <w:gridSpan w:val="1"/>
            <w:noWrap/>
          </w:tcPr>
          <w:p>
            <w:pPr/>
            <w:r>
              <w:rPr/>
              <w:t xml:space="preserve">Wood Promotion for Sustainable Wood Construction Working Unit is operational</w:t>
            </w:r>
          </w:p>
        </w:tc>
        <w:tc>
          <w:tcPr>
            <w:tcW w:w="4000" w:type="dxa"/>
            <w:gridSpan w:val="1"/>
            <w:noWrap/>
          </w:tcPr>
          <w:p>
            <w:pPr/>
            <w:r>
              <w:rPr/>
              <w:t xml:space="preserve">The project has made initial progress towards establishment of the unit in this reporting period. GDF has pre-selected a group people from its personnel for “Wood Promotion for Sustainable Wood Construction Unit” but they have not officially appointed them. Completion of official appointment is expected to happen by October 2024 when the Project Steering Committee would be held.</w:t>
            </w:r>
          </w:p>
        </w:tc>
        <w:tc>
          <w:tcPr>
            <w:tcW w:w="4000" w:type="dxa"/>
            <w:gridSpan w:val="1"/>
            <w:noWrap/>
          </w:tcPr>
          <w:p>
            <w:pPr/>
            <w:r>
              <w:rPr/>
              <w:t xml:space="preserve">The Wood Promotion for Sustainable Wood Construction Working Unit is established under GDF. Please refer to the related Project Steering Committee Meeting Minutes dated 01.11.2024.</w:t>
            </w:r>
          </w:p>
        </w:tc>
      </w:tr>
      <w:tr>
        <w:trPr/>
        <w:tc>
          <w:tcPr>
            <w:tcW w:w="4000" w:type="dxa"/>
            <w:gridSpan w:val="1"/>
            <w:noWrap/>
          </w:tcPr>
          <w:p>
            <w:pPr/>
            <w:r>
              <w:rPr>
                <w:b w:val="1"/>
                <w:bCs w:val="1"/>
              </w:rPr>
              <w:t xml:space="preserve">The progress of the objective/outcome can be described as:</w:t>
            </w:r>
          </w:p>
        </w:tc>
        <w:tc>
          <w:tcPr>
            <w:tcW w:w="12000" w:type="dxa"/>
            <w:gridSpan w:val="5"/>
            <w:noWrap/>
          </w:tcPr>
          <w:p>
            <w:pPr/>
            <w:r>
              <w:rPr>
                <w:b w:val="1"/>
                <w:bCs w:val="1"/>
              </w:rPr>
              <w:t xml:space="preserve">Achieved</w:t>
            </w:r>
          </w:p>
        </w:tc>
      </w:tr>
      <w:tr>
        <w:trPr/>
        <w:tc>
          <w:tcPr>
            <w:tcW w:w="4000" w:type="dxa"/>
            <w:gridSpan w:val="1"/>
            <w:noWrap/>
          </w:tcPr>
          <w:p>
            <w:pPr/>
            <w:r>
              <w:rPr>
                <w:b w:val="1"/>
                <w:bCs w:val="1"/>
              </w:rPr>
              <w:t xml:space="preserve">Evidence uploaded:</w:t>
            </w:r>
          </w:p>
        </w:tc>
        <w:tc>
          <w:tcPr>
            <w:tcW w:w="12000" w:type="dxa"/>
            <w:gridSpan w:val="5"/>
            <w:noWrap/>
          </w:tcPr>
          <w:p>
            <w:pPr/>
            <w:r>
              <w:rPr/>
              <w:t xml:space="preserve">YES</w:t>
            </w:r>
          </w:p>
        </w:tc>
      </w:tr>
      <w:tr>
        <w:trPr/>
        <w:tc>
          <w:tcPr>
            <w:tcW w:w="16000" w:type="dxa"/>
            <w:shd w:val="clear" w:fill="#D9D9D9"/>
            <w:gridSpan w:val="7"/>
            <w:noWrap/>
          </w:tcPr>
          <w:p>
            <w:pPr/>
            <w:r>
              <w:rPr>
                <w:b w:val="1"/>
                <w:bCs w:val="1"/>
              </w:rPr>
              <w:t xml:space="preserve">Outcome 3</w:t>
            </w:r>
          </w:p>
          <w:p>
            <w:pPr/>
            <w:r>
              <w:rPr>
                <w:b w:val="1"/>
                <w:bCs w:val="1"/>
              </w:rPr>
              <w:t xml:space="preserve">Phased Financial Support Mechanism (FSM) is operational and project providing incentives to SMEs for greater use of wood in construction in Türkiye</w:t>
            </w:r>
          </w:p>
        </w:tc>
      </w:tr>
      <w:tr>
        <w:trPr/>
        <w:tc>
          <w:tcPr>
            <w:tcW w:w="4000" w:type="dxa"/>
            <w:gridSpan w:val="1"/>
            <w:noWrap/>
          </w:tcPr>
          <w:p>
            <w:pPr/>
            <w:r>
              <w:rPr>
                <w:b w:val="1"/>
                <w:bCs w:val="1"/>
              </w:rPr>
              <w:t xml:space="preserve">Description of Indicator</w:t>
            </w:r>
          </w:p>
        </w:tc>
        <w:tc>
          <w:tcPr>
            <w:tcW w:w="2000" w:type="dxa"/>
            <w:gridSpan w:val="1"/>
            <w:noWrap/>
          </w:tcPr>
          <w:p>
            <w:pPr/>
            <w:r>
              <w:rPr>
                <w:b w:val="1"/>
                <w:bCs w:val="1"/>
              </w:rPr>
              <w:t xml:space="preserve">Baseline Level</w:t>
            </w:r>
          </w:p>
        </w:tc>
        <w:tc>
          <w:tcPr>
            <w:tcW w:w="2000" w:type="dxa"/>
            <w:gridSpan w:val="1"/>
            <w:noWrap/>
          </w:tcPr>
          <w:p>
            <w:pPr/>
            <w:r>
              <w:rPr>
                <w:b w:val="1"/>
                <w:bCs w:val="1"/>
              </w:rPr>
              <w:t xml:space="preserve">Midterm target level</w:t>
            </w:r>
          </w:p>
        </w:tc>
        <w:tc>
          <w:tcPr>
            <w:tcW w:w="2000" w:type="dxa"/>
            <w:gridSpan w:val="1"/>
            <w:noWrap/>
          </w:tcPr>
          <w:p>
            <w:pPr/>
            <w:r>
              <w:rPr>
                <w:b w:val="1"/>
                <w:bCs w:val="1"/>
              </w:rPr>
              <w:t xml:space="preserve">End of project target level</w:t>
            </w:r>
          </w:p>
        </w:tc>
        <w:tc>
          <w:tcPr>
            <w:tcW w:w="4000" w:type="dxa"/>
            <w:gridSpan w:val="1"/>
            <w:noWrap/>
          </w:tcPr>
          <w:p>
            <w:pPr/>
            <w:r>
              <w:rPr>
                <w:b w:val="1"/>
                <w:bCs w:val="1"/>
              </w:rPr>
              <w:t xml:space="preserve">Level at Jun 30, 2024</w:t>
            </w:r>
          </w:p>
        </w:tc>
        <w:tc>
          <w:tcPr>
            <w:tcW w:w="4000" w:type="dxa"/>
            <w:gridSpan w:val="1"/>
            <w:noWrap/>
          </w:tcPr>
          <w:p>
            <w:pPr/>
            <w:r>
              <w:rPr>
                <w:b w:val="1"/>
                <w:bCs w:val="1"/>
              </w:rPr>
              <w:t xml:space="preserve">Cumulative progress since project start as of Jun 30, 2025</w:t>
            </w:r>
          </w:p>
        </w:tc>
      </w:tr>
      <w:tr>
        <w:trPr/>
        <w:tc>
          <w:tcPr>
            <w:tcW w:w="4000" w:type="dxa"/>
            <w:gridSpan w:val="1"/>
            <w:noWrap/>
          </w:tcPr>
          <w:p>
            <w:pPr/>
            <w:r>
              <w:rPr/>
              <w:t xml:space="preserve">Indicator 9: Total capacity of CLT and other wood technologies production by wood companies benefited from the FSM</w:t>
            </w:r>
          </w:p>
        </w:tc>
        <w:tc>
          <w:tcPr>
            <w:tcW w:w="2000" w:type="dxa"/>
            <w:gridSpan w:val="1"/>
            <w:noWrap/>
          </w:tcPr>
          <w:p>
            <w:pPr/>
            <w:r>
              <w:rPr/>
              <w:t xml:space="preserve">3,000 m³ p.a.  CLT production capacity</w:t>
            </w:r>
          </w:p>
        </w:tc>
        <w:tc>
          <w:tcPr>
            <w:tcW w:w="2000" w:type="dxa"/>
            <w:gridSpan w:val="1"/>
            <w:noWrap/>
          </w:tcPr>
          <w:p>
            <w:pPr/>
            <w:r>
              <w:rPr/>
              <w:t xml:space="preserve">CLT production capacity of 12,000 m³ p.a.  is available</w:t>
            </w:r>
          </w:p>
        </w:tc>
        <w:tc>
          <w:tcPr>
            <w:tcW w:w="2000" w:type="dxa"/>
            <w:gridSpan w:val="1"/>
            <w:noWrap/>
          </w:tcPr>
          <w:p>
            <w:pPr/>
            <w:r>
              <w:rPr/>
              <w:t xml:space="preserve">CLT production capacity of 110,000 m³ p.a. is available</w:t>
            </w:r>
          </w:p>
        </w:tc>
        <w:tc>
          <w:tcPr>
            <w:tcW w:w="4000" w:type="dxa"/>
            <w:gridSpan w:val="1"/>
            <w:noWrap/>
          </w:tcPr>
          <w:p>
            <w:pPr/>
            <w:r>
              <w:rPr/>
              <w:t xml:space="preserve">0 m³ p.a. of CLT production capacity has been made available in this reporting period  .</w:t>
            </w:r>
          </w:p>
          <w:p>
            <w:pPr/>
            <w:r>
              <w:rPr/>
              <w:t xml:space="preserve">The current earthquake building design code of Türkiye does not allow to design more than 3 storeys wooden building, which is more economic to construct it with columns &amp; beams method instead of using CLT. Wooden building construction is still more expensive than other construction techniques. Therefore, the project first focused on increasing the percentage of wooden construction among the other construction methods (i.e. reinforced concrete and steel). At the same time, the project is organizing meetings to revise the current earthquake building design code to increase the number of allowed storeys. Therefore, CLT production investment is not economic during this period and no progress is reported</w:t>
            </w:r>
          </w:p>
          <w:p>
            <w:pPr/>
            <w:r>
              <w:rPr/>
              <w:t xml:space="preserve"/>
            </w:r>
          </w:p>
        </w:tc>
        <w:tc>
          <w:tcPr>
            <w:tcW w:w="4000" w:type="dxa"/>
            <w:gridSpan w:val="1"/>
            <w:noWrap/>
          </w:tcPr>
          <w:p>
            <w:pPr/>
            <w:r>
              <w:rPr/>
              <w:t xml:space="preserve">As stated in the ProDoc, Naswood Company continues to maintain its annual CLT (Cross-Laminated Timber) production capacity of 3,000 m³. In addition, a new CLT production line with an equivalent capacity of 3,000 m³ per annum has been established by Berry Wood. While both companies are considered supporters of the project, they do not have any direct involvement in the project's financial support mechanism.</w:t>
            </w:r>
          </w:p>
        </w:tc>
      </w:tr>
      <w:tr>
        <w:trPr/>
        <w:tc>
          <w:tcPr>
            <w:tcW w:w="4000" w:type="dxa"/>
            <w:gridSpan w:val="1"/>
            <w:noWrap/>
          </w:tcPr>
          <w:p>
            <w:pPr/>
            <w:r>
              <w:rPr/>
              <w:t xml:space="preserve">Indicator 10: M² of buildings using wood/CLT</w:t>
            </w:r>
          </w:p>
        </w:tc>
        <w:tc>
          <w:tcPr>
            <w:tcW w:w="2000" w:type="dxa"/>
            <w:gridSpan w:val="1"/>
            <w:noWrap/>
          </w:tcPr>
          <w:p>
            <w:pPr/>
            <w:r>
              <w:rPr/>
              <w:t xml:space="preserve">0</w:t>
            </w:r>
          </w:p>
        </w:tc>
        <w:tc>
          <w:tcPr>
            <w:tcW w:w="2000" w:type="dxa"/>
            <w:gridSpan w:val="1"/>
            <w:noWrap/>
          </w:tcPr>
          <w:p>
            <w:pPr/>
            <w:r>
              <w:rPr/>
              <w:t xml:space="preserve">6 pilot projects with total of 8,400 m² using CLT and/or other wood technologies (Phase I) supported using a combination of Performance-Based Payments and/or technical assistance are under construction</w:t>
            </w:r>
          </w:p>
          <w:p>
            <w:pPr/>
            <w:r>
              <w:rPr/>
              <w:t xml:space="preserve"/>
            </w:r>
          </w:p>
          <w:p>
            <w:pPr/>
            <w:r>
              <w:rPr/>
              <w:t xml:space="preserve">25 pilot projects with total floor area of at least 35,000 m2 using CLT and/or other wood technologies (Phase II) supported with technical assistance are under construction</w:t>
            </w:r>
          </w:p>
          <w:p>
            <w:pPr/>
            <w:r>
              <w:rPr/>
              <w:t xml:space="preserve"/>
            </w:r>
          </w:p>
        </w:tc>
        <w:tc>
          <w:tcPr>
            <w:tcW w:w="2000" w:type="dxa"/>
            <w:gridSpan w:val="1"/>
            <w:noWrap/>
          </w:tcPr>
          <w:p>
            <w:pPr/>
            <w:r>
              <w:rPr/>
              <w:t xml:space="preserve">Additional 380 wooden buildings using CLT and/or other wood technologies and an additional 532,000 m2 of buildings using wood/CLT are being built by the end of the project without any GEF support and/or technical assistance</w:t>
            </w:r>
          </w:p>
        </w:tc>
        <w:tc>
          <w:tcPr>
            <w:tcW w:w="4000" w:type="dxa"/>
            <w:gridSpan w:val="1"/>
            <w:noWrap/>
          </w:tcPr>
          <w:p>
            <w:pPr/>
            <w:r>
              <w:rPr/>
              <w:t xml:space="preserve">0</w:t>
            </w:r>
          </w:p>
          <w:p>
            <w:pPr/>
            <w:r>
              <w:rPr/>
              <w:t xml:space="preserve"/>
            </w:r>
          </w:p>
          <w:p>
            <w:pPr/>
            <w:r>
              <w:rPr/>
              <w:t xml:space="preserve">GDF had started constructing 50 pilot projects totaling to 71,216 sqm of wooden buildings under their commitment for co-financing. 4,400 sqm were completed but their commissioning was not completed during this reporting period. 42,000 sqm is expected to  be completed by the end of 2024.</w:t>
            </w:r>
          </w:p>
        </w:tc>
        <w:tc>
          <w:tcPr>
            <w:tcW w:w="4000" w:type="dxa"/>
            <w:gridSpan w:val="1"/>
            <w:noWrap/>
          </w:tcPr>
          <w:p>
            <w:pPr/>
            <w:r>
              <w:rPr/>
              <w:t xml:space="preserve">142 Apartments (Units</w:t>
            </w:r>
          </w:p>
          <w:p>
            <w:pPr/>
            <w:r>
              <w:rPr/>
              <w:t xml:space="preserve">11 Office Buildings</w:t>
            </w:r>
          </w:p>
          <w:p>
            <w:pPr/>
            <w:r>
              <w:rPr/>
              <w:t xml:space="preserve">36,987 sqm</w:t>
            </w:r>
          </w:p>
          <w:p>
            <w:pPr/>
            <w:r>
              <w:rPr/>
              <w:t xml:space="preserve"/>
            </w:r>
          </w:p>
          <w:p>
            <w:pPr/>
            <w:r>
              <w:rPr/>
              <w:t xml:space="preserve">In this PIR period, the General Directorate of Forestry (GDF), serving as the project's main co-financer, successfully completed the construction, commissioning, and registration of 36,987 square meters of wooden buildings. These new facilities include 142 apartment units designated for personnel (totaling 31,945 m²) and 11 distinct office buildings (spanning 5,042 m²).</w:t>
            </w:r>
          </w:p>
          <w:p>
            <w:pPr/>
            <w:r>
              <w:rPr/>
              <w:t xml:space="preserve"/>
            </w:r>
          </w:p>
          <w:p>
            <w:pPr/>
            <w:r>
              <w:rPr/>
              <w:t xml:space="preserve">Column-beam systems were constructed using GLT (Glued Laminated Timber), marking the most extensive use of this material in a multi-story structure in Türkiye to date. GDF took a bold step in initiating this approach, made possible through this project. By utilizing the outputs of a previous UNDP-GDF project, it became feasible to produce local timber-based construction materials—an outcome that would not have been achievable otherwise.</w:t>
            </w:r>
          </w:p>
          <w:p>
            <w:pPr/>
            <w:r>
              <w:rPr/>
              <w:t xml:space="preserve"/>
            </w:r>
          </w:p>
          <w:p>
            <w:pPr/>
            <w:r>
              <w:rPr/>
              <w:t xml:space="preserve">As a result, local wood materials are now recognized under Eurocode (the EU standard). Without such projects, it would have been difficult to respond to the urgent construction needs following earthquakes. Nonetheless, due to capacity limitations, some buildings had to be constructed using reinforced concrete. A table detailing the wooden and reinforced concrete structures is provided in the annex. th project also provided consultancy services at GDF's on-going constrcutions.</w:t>
            </w:r>
          </w:p>
          <w:p>
            <w:pPr/>
            <w:r>
              <w:rPr/>
              <w:t xml:space="preserve"/>
            </w:r>
          </w:p>
          <w:p>
            <w:pPr/>
            <w:r>
              <w:rPr/>
              <w:t xml:space="preserve">Total Construction: 36,987 m²</w:t>
            </w:r>
          </w:p>
        </w:tc>
      </w:tr>
      <w:tr>
        <w:trPr/>
        <w:tc>
          <w:tcPr>
            <w:tcW w:w="4000" w:type="dxa"/>
            <w:gridSpan w:val="1"/>
            <w:noWrap/>
          </w:tcPr>
          <w:p>
            <w:pPr/>
            <w:r>
              <w:rPr>
                <w:b w:val="1"/>
                <w:bCs w:val="1"/>
              </w:rPr>
              <w:t xml:space="preserve">The progress of the objective/outcome can be described as:</w:t>
            </w:r>
          </w:p>
        </w:tc>
        <w:tc>
          <w:tcPr>
            <w:tcW w:w="12000" w:type="dxa"/>
            <w:gridSpan w:val="5"/>
            <w:noWrap/>
          </w:tcPr>
          <w:p>
            <w:pPr/>
            <w:r>
              <w:rPr>
                <w:b w:val="1"/>
                <w:bCs w:val="1"/>
              </w:rPr>
              <w:t xml:space="preserve">On track</w:t>
            </w:r>
          </w:p>
        </w:tc>
      </w:tr>
      <w:tr>
        <w:trPr/>
        <w:tc>
          <w:tcPr>
            <w:tcW w:w="4000" w:type="dxa"/>
            <w:gridSpan w:val="1"/>
            <w:noWrap/>
          </w:tcPr>
          <w:p>
            <w:pPr/>
            <w:r>
              <w:rPr>
                <w:b w:val="1"/>
                <w:bCs w:val="1"/>
              </w:rPr>
              <w:t xml:space="preserve">Evidence uploaded:</w:t>
            </w:r>
          </w:p>
        </w:tc>
        <w:tc>
          <w:tcPr>
            <w:tcW w:w="12000" w:type="dxa"/>
            <w:gridSpan w:val="5"/>
            <w:noWrap/>
          </w:tcPr>
          <w:p>
            <w:pPr/>
            <w:r>
              <w:rPr/>
              <w:t xml:space="preserve">YES</w:t>
            </w:r>
          </w:p>
        </w:tc>
      </w:tr>
      <w:tr>
        <w:trPr/>
        <w:tc>
          <w:tcPr>
            <w:tcW w:w="16000" w:type="dxa"/>
            <w:shd w:val="clear" w:fill="#D9D9D9"/>
            <w:gridSpan w:val="7"/>
            <w:noWrap/>
          </w:tcPr>
          <w:p>
            <w:pPr/>
            <w:r>
              <w:rPr>
                <w:b w:val="1"/>
                <w:bCs w:val="1"/>
              </w:rPr>
              <w:t xml:space="preserve">Outcome 4</w:t>
            </w:r>
          </w:p>
          <w:p>
            <w:pPr/>
            <w:r>
              <w:rPr>
                <w:b w:val="1"/>
                <w:bCs w:val="1"/>
              </w:rPr>
              <w:t xml:space="preserve">Increased awareness about the benefits of using wood in construction</w:t>
            </w:r>
          </w:p>
        </w:tc>
      </w:tr>
      <w:tr>
        <w:trPr/>
        <w:tc>
          <w:tcPr>
            <w:tcW w:w="4000" w:type="dxa"/>
            <w:gridSpan w:val="1"/>
            <w:noWrap/>
          </w:tcPr>
          <w:p>
            <w:pPr/>
            <w:r>
              <w:rPr>
                <w:b w:val="1"/>
                <w:bCs w:val="1"/>
              </w:rPr>
              <w:t xml:space="preserve">Description of Indicator</w:t>
            </w:r>
          </w:p>
        </w:tc>
        <w:tc>
          <w:tcPr>
            <w:tcW w:w="2000" w:type="dxa"/>
            <w:gridSpan w:val="1"/>
            <w:noWrap/>
          </w:tcPr>
          <w:p>
            <w:pPr/>
            <w:r>
              <w:rPr>
                <w:b w:val="1"/>
                <w:bCs w:val="1"/>
              </w:rPr>
              <w:t xml:space="preserve">Baseline Level</w:t>
            </w:r>
          </w:p>
        </w:tc>
        <w:tc>
          <w:tcPr>
            <w:tcW w:w="2000" w:type="dxa"/>
            <w:gridSpan w:val="1"/>
            <w:noWrap/>
          </w:tcPr>
          <w:p>
            <w:pPr/>
            <w:r>
              <w:rPr>
                <w:b w:val="1"/>
                <w:bCs w:val="1"/>
              </w:rPr>
              <w:t xml:space="preserve">Midterm target level</w:t>
            </w:r>
          </w:p>
        </w:tc>
        <w:tc>
          <w:tcPr>
            <w:tcW w:w="2000" w:type="dxa"/>
            <w:gridSpan w:val="1"/>
            <w:noWrap/>
          </w:tcPr>
          <w:p>
            <w:pPr/>
            <w:r>
              <w:rPr>
                <w:b w:val="1"/>
                <w:bCs w:val="1"/>
              </w:rPr>
              <w:t xml:space="preserve">End of project target level</w:t>
            </w:r>
          </w:p>
        </w:tc>
        <w:tc>
          <w:tcPr>
            <w:tcW w:w="4000" w:type="dxa"/>
            <w:gridSpan w:val="1"/>
            <w:noWrap/>
          </w:tcPr>
          <w:p>
            <w:pPr/>
            <w:r>
              <w:rPr>
                <w:b w:val="1"/>
                <w:bCs w:val="1"/>
              </w:rPr>
              <w:t xml:space="preserve">Level at Jun 30, 2024</w:t>
            </w:r>
          </w:p>
        </w:tc>
        <w:tc>
          <w:tcPr>
            <w:tcW w:w="4000" w:type="dxa"/>
            <w:gridSpan w:val="1"/>
            <w:noWrap/>
          </w:tcPr>
          <w:p>
            <w:pPr/>
            <w:r>
              <w:rPr>
                <w:b w:val="1"/>
                <w:bCs w:val="1"/>
              </w:rPr>
              <w:t xml:space="preserve">Cumulative progress since project start as of Jun 30, 2025</w:t>
            </w:r>
          </w:p>
        </w:tc>
      </w:tr>
      <w:tr>
        <w:trPr/>
        <w:tc>
          <w:tcPr>
            <w:tcW w:w="4000" w:type="dxa"/>
            <w:gridSpan w:val="1"/>
            <w:noWrap/>
          </w:tcPr>
          <w:p>
            <w:pPr/>
            <w:r>
              <w:rPr/>
              <w:t xml:space="preserve">Indicator 11: Capacity on low cost energy efficient wooden buildings in construction sector</w:t>
            </w:r>
          </w:p>
        </w:tc>
        <w:tc>
          <w:tcPr>
            <w:tcW w:w="2000" w:type="dxa"/>
            <w:gridSpan w:val="1"/>
            <w:noWrap/>
          </w:tcPr>
          <w:p>
            <w:pPr/>
            <w:r>
              <w:rPr/>
              <w:t xml:space="preserve">No capacity in the construction sector for building with CLT, low cost energy efficient buildings</w:t>
            </w:r>
          </w:p>
        </w:tc>
        <w:tc>
          <w:tcPr>
            <w:tcW w:w="2000" w:type="dxa"/>
            <w:gridSpan w:val="1"/>
            <w:noWrap/>
          </w:tcPr>
          <w:p>
            <w:pPr/>
            <w:r>
              <w:rPr/>
              <w:t xml:space="preserve">1 annual national  CLT workshop held (1 per year starting in year 3)</w:t>
            </w:r>
          </w:p>
          <w:p>
            <w:pPr/>
            <w:r>
              <w:rPr/>
              <w:t xml:space="preserve">Minimum 80 participants from the construction sector, out of which at least 35% are women</w:t>
            </w:r>
          </w:p>
        </w:tc>
        <w:tc>
          <w:tcPr>
            <w:tcW w:w="2000" w:type="dxa"/>
            <w:gridSpan w:val="1"/>
            <w:noWrap/>
          </w:tcPr>
          <w:p>
            <w:pPr/>
            <w:r>
              <w:rPr/>
              <w:t xml:space="preserve">4 national CLT workshops have been held starting in year 2 and once per year</w:t>
            </w:r>
          </w:p>
          <w:p>
            <w:pPr/>
            <w:r>
              <w:rPr/>
              <w:t xml:space="preserve">Minimum 400 participants from the construction sector, out of which at least 35% are women.</w:t>
            </w:r>
          </w:p>
        </w:tc>
        <w:tc>
          <w:tcPr>
            <w:tcW w:w="4000" w:type="dxa"/>
            <w:gridSpan w:val="1"/>
            <w:noWrap/>
          </w:tcPr>
          <w:p>
            <w:pPr/>
            <w:r>
              <w:rPr/>
              <w:t xml:space="preserve">This activity is planned to be started by year 2025 after the completion of first co-financed wooden buildings.</w:t>
            </w:r>
          </w:p>
        </w:tc>
        <w:tc>
          <w:tcPr>
            <w:tcW w:w="4000" w:type="dxa"/>
            <w:gridSpan w:val="1"/>
            <w:noWrap/>
          </w:tcPr>
          <w:p>
            <w:pPr/>
            <w:r>
              <w:rPr/>
              <w:t xml:space="preserve">3 Capacity Building Events</w:t>
            </w:r>
          </w:p>
          <w:p>
            <w:pPr/>
            <w:r>
              <w:rPr/>
              <w:t xml:space="preserve">As part of its ongoing efforts to strengthen knowledge and technical capacity in the construction sector—particularly in the area of wooden building technologies—the project successfully implemented three significant capacity-building events. These events brought together key stakeholders from public institutions, the engineering community, and the private sector, addressing critical gaps in knowledge, awareness, and compliance related to sustainable construction and certification practices.</w:t>
            </w:r>
          </w:p>
          <w:p>
            <w:pPr/>
            <w:r>
              <w:rPr/>
              <w:t xml:space="preserve">16 July 2024 – Awareness and Training for Public Institutions</w:t>
            </w:r>
          </w:p>
          <w:p>
            <w:pPr/>
            <w:r>
              <w:rPr/>
              <w:t xml:space="preserve">A two-day training and awareness session was held for professionals from various public institutions, focusing on the fundamentals of wooden construction, sustainable building practices, and recent developments in building codes. A total of 80 participants—including engineers, architects, and policymakers—attended the event. The training emphasized the importance of wooden construction in post-disaster recovery and climate-resilient infrastructure, helping public officials understand their role in promoting and implementing such technologies.</w:t>
            </w:r>
          </w:p>
          <w:p>
            <w:pPr/>
            <w:r>
              <w:rPr/>
              <w:t xml:space="preserve">3 May 2025 – Training and Panel on New Legislation for Wooden Buildings</w:t>
            </w:r>
          </w:p>
          <w:p>
            <w:pPr/>
            <w:r>
              <w:rPr/>
              <w:t xml:space="preserve">This event targeted civil engineers in the construction sector. A panel of experts presented the latest legal frameworks, technical standards, and practical implementation challenges. With 109 participants, this session helped bridge the gap between regulatory developments and on-the-ground engineering practices, ensuring professionals are better prepared to comply with wooden building regulations.</w:t>
            </w:r>
          </w:p>
          <w:p>
            <w:pPr/>
            <w:r>
              <w:rPr/>
              <w:t xml:space="preserve">2 June 2025 – Capacity Building for Construction Material Suppliers</w:t>
            </w:r>
          </w:p>
          <w:p>
            <w:pPr/>
            <w:r>
              <w:rPr/>
              <w:t xml:space="preserve">A specialized training session was organized for construction material suppliers, concentrating on certification standards and quality assurance specific to wooden construction materials. The training addressed market readiness, supply chain constraints, and the certification process required for both national and European markets. By involving suppliers directly, the project contributed to building a more robust and quality-assured wooden construction ecosystem.</w:t>
            </w:r>
          </w:p>
          <w:p>
            <w:pPr/>
            <w:r>
              <w:rPr/>
              <w:t xml:space="preserve">These events collectively advanced the project’s goals of mainstreaming wooden construction in Türkiye by equipping critical actors in the construction value chain with the knowledge and tools needed to adopt, promote, and scale up wooden building solutions.</w:t>
            </w:r>
          </w:p>
          <w:p>
            <w:pPr/>
            <w:r>
              <w:rPr/>
              <w:t xml:space="preserve"/>
            </w:r>
          </w:p>
          <w:p>
            <w:pPr/>
            <w:r>
              <w:rPr/>
              <w:t xml:space="preserve"/>
            </w:r>
          </w:p>
          <w:p>
            <w:pPr/>
            <w:r>
              <w:rPr/>
              <w:t xml:space="preserve"/>
            </w:r>
          </w:p>
        </w:tc>
      </w:tr>
      <w:tr>
        <w:trPr/>
        <w:tc>
          <w:tcPr>
            <w:tcW w:w="4000" w:type="dxa"/>
            <w:gridSpan w:val="1"/>
            <w:noWrap/>
          </w:tcPr>
          <w:p>
            <w:pPr/>
            <w:r>
              <w:rPr/>
              <w:t xml:space="preserve">Indicator 12: Municipalities interested in competitive energy efficient wooden buildings</w:t>
            </w:r>
          </w:p>
        </w:tc>
        <w:tc>
          <w:tcPr>
            <w:tcW w:w="2000" w:type="dxa"/>
            <w:gridSpan w:val="1"/>
            <w:noWrap/>
          </w:tcPr>
          <w:p>
            <w:pPr/>
            <w:r>
              <w:rPr/>
              <w:t xml:space="preserve">No interest of municipalities in energy efficient wooden buildings</w:t>
            </w:r>
          </w:p>
        </w:tc>
        <w:tc>
          <w:tcPr>
            <w:tcW w:w="2000" w:type="dxa"/>
            <w:gridSpan w:val="1"/>
            <w:noWrap/>
          </w:tcPr>
          <w:p>
            <w:pPr/>
            <w:r>
              <w:rPr/>
              <w:t xml:space="preserve">20 promotional meetings and seminars with Municipalities have been held</w:t>
            </w:r>
          </w:p>
        </w:tc>
        <w:tc>
          <w:tcPr>
            <w:tcW w:w="2000" w:type="dxa"/>
            <w:gridSpan w:val="1"/>
            <w:noWrap/>
          </w:tcPr>
          <w:p>
            <w:pPr/>
            <w:r>
              <w:rPr/>
              <w:t xml:space="preserve">50 promotional meetings and seminars with Municipalities have been held</w:t>
            </w:r>
          </w:p>
        </w:tc>
        <w:tc>
          <w:tcPr>
            <w:tcW w:w="4000" w:type="dxa"/>
            <w:gridSpan w:val="1"/>
            <w:noWrap/>
          </w:tcPr>
          <w:p>
            <w:pPr/>
            <w:r>
              <w:rPr/>
              <w:t xml:space="preserve">This activity is planned to be started by year 2025 after the completion of first co-financed wooden buildings.</w:t>
            </w:r>
          </w:p>
        </w:tc>
        <w:tc>
          <w:tcPr>
            <w:tcW w:w="4000" w:type="dxa"/>
            <w:gridSpan w:val="1"/>
            <w:noWrap/>
          </w:tcPr>
          <w:p>
            <w:pPr/>
            <w:r>
              <w:rPr/>
              <w:t xml:space="preserve">8</w:t>
            </w:r>
          </w:p>
          <w:p>
            <w:pPr/>
            <w:r>
              <w:rPr/>
              <w:t xml:space="preserve"/>
            </w:r>
          </w:p>
          <w:p>
            <w:pPr/>
            <w:r>
              <w:rPr/>
              <w:t xml:space="preserve">The project engaged with eight municipalities interested in wooden buildings, inviting them to training and awareness events. These events were hosted on July 16, 2024, for public institutions and November 26, 2024, for postgraduate students, both held at GDF's wooden construction sites within the earthquake region. Furthermore, three municipalities have expressed interest in co-financed wooden buildings, with their requests to be evaluated by the Project Board following the completion of the first phase of co-financed wooden building projects.</w:t>
            </w:r>
          </w:p>
          <w:p>
            <w:pPr/>
            <w:r>
              <w:rPr/>
              <w:t xml:space="preserve"/>
            </w:r>
          </w:p>
          <w:p>
            <w:pPr/>
            <w:r>
              <w:rPr/>
              <w:t xml:space="preserve">The list of Municipalities are as follows:</w:t>
            </w:r>
          </w:p>
          <w:p>
            <w:pPr/>
            <w:r>
              <w:rPr/>
              <w:t xml:space="preserve">- Adana</w:t>
            </w:r>
          </w:p>
          <w:p>
            <w:pPr/>
            <w:r>
              <w:rPr/>
              <w:t xml:space="preserve">- Hatay</w:t>
            </w:r>
          </w:p>
          <w:p>
            <w:pPr/>
            <w:r>
              <w:rPr/>
              <w:t xml:space="preserve">- Konya</w:t>
            </w:r>
          </w:p>
          <w:p>
            <w:pPr/>
            <w:r>
              <w:rPr/>
              <w:t xml:space="preserve">- Tosya</w:t>
            </w:r>
          </w:p>
          <w:p>
            <w:pPr/>
            <w:r>
              <w:rPr/>
              <w:t xml:space="preserve">- Karamürsel</w:t>
            </w:r>
          </w:p>
          <w:p>
            <w:pPr/>
            <w:r>
              <w:rPr/>
              <w:t xml:space="preserve">- Kadıköy</w:t>
            </w:r>
          </w:p>
          <w:p>
            <w:pPr/>
            <w:r>
              <w:rPr/>
              <w:t xml:space="preserve">- Eyüp</w:t>
            </w:r>
          </w:p>
          <w:p>
            <w:pPr/>
            <w:r>
              <w:rPr/>
              <w:t xml:space="preserve"/>
            </w:r>
          </w:p>
        </w:tc>
      </w:tr>
      <w:tr>
        <w:trPr/>
        <w:tc>
          <w:tcPr>
            <w:tcW w:w="4000" w:type="dxa"/>
            <w:gridSpan w:val="1"/>
            <w:noWrap/>
          </w:tcPr>
          <w:p>
            <w:pPr/>
            <w:r>
              <w:rPr>
                <w:b w:val="1"/>
                <w:bCs w:val="1"/>
              </w:rPr>
              <w:t xml:space="preserve">The progress of the objective/outcome can be described as:</w:t>
            </w:r>
          </w:p>
        </w:tc>
        <w:tc>
          <w:tcPr>
            <w:tcW w:w="12000" w:type="dxa"/>
            <w:gridSpan w:val="5"/>
            <w:noWrap/>
          </w:tcPr>
          <w:p>
            <w:pPr/>
            <w:r>
              <w:rPr>
                <w:b w:val="1"/>
                <w:bCs w:val="1"/>
              </w:rPr>
              <w:t xml:space="preserve">On track</w:t>
            </w:r>
          </w:p>
        </w:tc>
      </w:tr>
      <w:tr>
        <w:trPr/>
        <w:tc>
          <w:tcPr>
            <w:tcW w:w="4000" w:type="dxa"/>
            <w:gridSpan w:val="1"/>
            <w:noWrap/>
          </w:tcPr>
          <w:p>
            <w:pPr/>
            <w:r>
              <w:rPr>
                <w:b w:val="1"/>
                <w:bCs w:val="1"/>
              </w:rPr>
              <w:t xml:space="preserve">Evidence uploaded:</w:t>
            </w:r>
          </w:p>
        </w:tc>
        <w:tc>
          <w:tcPr>
            <w:tcW w:w="12000" w:type="dxa"/>
            <w:gridSpan w:val="5"/>
            <w:noWrap/>
          </w:tcPr>
          <w:p>
            <w:pPr/>
            <w:r>
              <w:rPr/>
              <w:t xml:space="preserve">YES</w:t>
            </w:r>
          </w:p>
        </w:tc>
      </w:tr>
      <w:tr>
        <w:trPr/>
        <w:tc>
          <w:tcPr>
            <w:tcW w:w="16000" w:type="dxa"/>
            <w:shd w:val="clear" w:fill="#D9D9D9"/>
            <w:gridSpan w:val="7"/>
            <w:noWrap/>
          </w:tcPr>
          <w:p>
            <w:pPr/>
            <w:r>
              <w:rPr>
                <w:b w:val="1"/>
                <w:bCs w:val="1"/>
              </w:rPr>
              <w:t xml:space="preserve">Outcome 5</w:t>
            </w:r>
          </w:p>
          <w:p>
            <w:pPr/>
            <w:r>
              <w:rPr>
                <w:b w:val="1"/>
                <w:bCs w:val="1"/>
              </w:rPr>
              <w:t xml:space="preserve">Increased training and capacity building on using wood in construction</w:t>
            </w:r>
          </w:p>
        </w:tc>
      </w:tr>
      <w:tr>
        <w:trPr/>
        <w:tc>
          <w:tcPr>
            <w:tcW w:w="4000" w:type="dxa"/>
            <w:gridSpan w:val="1"/>
            <w:noWrap/>
          </w:tcPr>
          <w:p>
            <w:pPr/>
            <w:r>
              <w:rPr>
                <w:b w:val="1"/>
                <w:bCs w:val="1"/>
              </w:rPr>
              <w:t xml:space="preserve">Description of Indicator</w:t>
            </w:r>
          </w:p>
        </w:tc>
        <w:tc>
          <w:tcPr>
            <w:tcW w:w="2000" w:type="dxa"/>
            <w:gridSpan w:val="1"/>
            <w:noWrap/>
          </w:tcPr>
          <w:p>
            <w:pPr/>
            <w:r>
              <w:rPr>
                <w:b w:val="1"/>
                <w:bCs w:val="1"/>
              </w:rPr>
              <w:t xml:space="preserve">Baseline Level</w:t>
            </w:r>
          </w:p>
        </w:tc>
        <w:tc>
          <w:tcPr>
            <w:tcW w:w="2000" w:type="dxa"/>
            <w:gridSpan w:val="1"/>
            <w:noWrap/>
          </w:tcPr>
          <w:p>
            <w:pPr/>
            <w:r>
              <w:rPr>
                <w:b w:val="1"/>
                <w:bCs w:val="1"/>
              </w:rPr>
              <w:t xml:space="preserve">Midterm target level</w:t>
            </w:r>
          </w:p>
        </w:tc>
        <w:tc>
          <w:tcPr>
            <w:tcW w:w="2000" w:type="dxa"/>
            <w:gridSpan w:val="1"/>
            <w:noWrap/>
          </w:tcPr>
          <w:p>
            <w:pPr/>
            <w:r>
              <w:rPr>
                <w:b w:val="1"/>
                <w:bCs w:val="1"/>
              </w:rPr>
              <w:t xml:space="preserve">End of project target level</w:t>
            </w:r>
          </w:p>
        </w:tc>
        <w:tc>
          <w:tcPr>
            <w:tcW w:w="4000" w:type="dxa"/>
            <w:gridSpan w:val="1"/>
            <w:noWrap/>
          </w:tcPr>
          <w:p>
            <w:pPr/>
            <w:r>
              <w:rPr>
                <w:b w:val="1"/>
                <w:bCs w:val="1"/>
              </w:rPr>
              <w:t xml:space="preserve">Level at Jun 30, 2024</w:t>
            </w:r>
          </w:p>
        </w:tc>
        <w:tc>
          <w:tcPr>
            <w:tcW w:w="4000" w:type="dxa"/>
            <w:gridSpan w:val="1"/>
            <w:noWrap/>
          </w:tcPr>
          <w:p>
            <w:pPr/>
            <w:r>
              <w:rPr>
                <w:b w:val="1"/>
                <w:bCs w:val="1"/>
              </w:rPr>
              <w:t xml:space="preserve">Cumulative progress since project start as of Jun 30, 2025</w:t>
            </w:r>
          </w:p>
        </w:tc>
      </w:tr>
      <w:tr>
        <w:trPr/>
        <w:tc>
          <w:tcPr>
            <w:tcW w:w="4000" w:type="dxa"/>
            <w:gridSpan w:val="1"/>
            <w:noWrap/>
          </w:tcPr>
          <w:p>
            <w:pPr/>
            <w:r>
              <w:rPr/>
              <w:t xml:space="preserve">Indicator 13: Training and capacity building on low cost energy efficient wooden buildings in construction sector</w:t>
            </w:r>
          </w:p>
        </w:tc>
        <w:tc>
          <w:tcPr>
            <w:tcW w:w="2000" w:type="dxa"/>
            <w:gridSpan w:val="1"/>
            <w:noWrap/>
          </w:tcPr>
          <w:p>
            <w:pPr/>
            <w:r>
              <w:rPr/>
              <w:t xml:space="preserve">No training offered</w:t>
            </w:r>
          </w:p>
        </w:tc>
        <w:tc>
          <w:tcPr>
            <w:tcW w:w="2000" w:type="dxa"/>
            <w:gridSpan w:val="1"/>
            <w:noWrap/>
          </w:tcPr>
          <w:p>
            <w:pPr/>
            <w:r>
              <w:rPr/>
              <w:t xml:space="preserve">4 capacity building and awareness raising workshop prepared and held</w:t>
            </w:r>
          </w:p>
          <w:p>
            <w:pPr/>
            <w:r>
              <w:rPr/>
              <w:t xml:space="preserve">Minimum 100 participants from the construction sector, out of which at least 35% are women</w:t>
            </w:r>
          </w:p>
        </w:tc>
        <w:tc>
          <w:tcPr>
            <w:tcW w:w="2000" w:type="dxa"/>
            <w:gridSpan w:val="1"/>
            <w:noWrap/>
          </w:tcPr>
          <w:p>
            <w:pPr/>
            <w:r>
              <w:rPr/>
              <w:t xml:space="preserve">10 capacity building and awareness raising workshops prepared and held</w:t>
            </w:r>
          </w:p>
          <w:p>
            <w:pPr/>
            <w:r>
              <w:rPr/>
              <w:t xml:space="preserve">Minimum 500 participants from the construction sector, out of which at least 35% are women</w:t>
            </w:r>
          </w:p>
        </w:tc>
        <w:tc>
          <w:tcPr>
            <w:tcW w:w="4000" w:type="dxa"/>
            <w:gridSpan w:val="1"/>
            <w:noWrap/>
          </w:tcPr>
          <w:p>
            <w:pPr/>
            <w:r>
              <w:rPr/>
              <w:t xml:space="preserve">1</w:t>
            </w:r>
          </w:p>
          <w:p>
            <w:pPr/>
            <w:r>
              <w:rPr/>
              <w:t xml:space="preserve"/>
            </w:r>
          </w:p>
          <w:p>
            <w:pPr/>
            <w:r>
              <w:rPr/>
              <w:t xml:space="preserve">1 capacity building/awareness raising workshop was held during this reporting period for GDF's engineers and architects at GDF Sanliurfa District Office, where 66 personnel (10 female, 56 male)    were trained for 3 days including theoretical and practical lessons   . Theoretical part covered wooden structure design principles, wooden construction material selection and preparation of commissioning check lists (i.e. design checks, inspection methods for wooden materials and connection elements, mechanical and electrical design applications, etc.).</w:t>
            </w:r>
          </w:p>
          <w:p>
            <w:pPr/>
            <w:r>
              <w:rPr/>
              <w:t xml:space="preserve">Practical part covered visiting of 3 Wooden building construction sites and hands-on trainings with experts   . Participants had chance to see and inspect what was taught in theoretical part of the training. (Please refer to the photos and social media posts in the KM &amp; Communication Section)</w:t>
            </w:r>
          </w:p>
          <w:p>
            <w:pPr/>
            <w:r>
              <w:rPr/>
              <w:t xml:space="preserve"/>
            </w:r>
          </w:p>
          <w:p>
            <w:pPr/>
            <w:r>
              <w:rPr/>
              <w:t xml:space="preserve"/>
            </w:r>
          </w:p>
        </w:tc>
        <w:tc>
          <w:tcPr>
            <w:tcW w:w="4000" w:type="dxa"/>
            <w:gridSpan w:val="1"/>
            <w:noWrap/>
          </w:tcPr>
          <w:p>
            <w:pPr/>
            <w:r>
              <w:rPr/>
              <w:t xml:space="preserve">7 capacity building and awareness raising workshop prepared and held</w:t>
            </w:r>
          </w:p>
          <w:p>
            <w:pPr/>
            <w:r>
              <w:rPr/>
              <w:t xml:space="preserve"/>
            </w:r>
          </w:p>
          <w:p>
            <w:pPr/>
            <w:r>
              <w:rPr/>
              <w:t xml:space="preserve">During this PIR period, the project continued to implement a comprehensive series of capacity-building, training, and awareness-raising activities targeting a wide range of stakeholders. These included graduate and postgraduate students in civil engineering, architecture, and forest industry fields; public institutions involved in the planning, construction, and regulation of public buildings; as well as key private sector actors such as architectural and engineering firms, contractors, and construction material suppliers.</w:t>
            </w:r>
          </w:p>
          <w:p>
            <w:pPr/>
            <w:r>
              <w:rPr/>
              <w:t xml:space="preserve"/>
            </w:r>
          </w:p>
          <w:p>
            <w:pPr/>
            <w:r>
              <w:rPr/>
              <w:t xml:space="preserve">Recognizing the significant gap in technical knowledge related to wooden construction—especially following the increased need for resilient, sustainable building practices in post-earthquake recovery—the project placed particular emphasis on enhancing the expertise of civil, mechanical, and electrical engineers, architects, forest industry professionals, and suppliers.</w:t>
            </w:r>
          </w:p>
          <w:p>
            <w:pPr/>
            <w:r>
              <w:rPr/>
              <w:t xml:space="preserve"/>
            </w:r>
          </w:p>
          <w:p>
            <w:pPr/>
            <w:r>
              <w:rPr/>
              <w:t xml:space="preserve">Events Organized:</w:t>
            </w:r>
          </w:p>
          <w:p>
            <w:pPr/>
            <w:r>
              <w:rPr/>
              <w:t xml:space="preserve"/>
            </w:r>
          </w:p>
          <w:p>
            <w:pPr/>
            <w:r>
              <w:rPr/>
              <w:t xml:space="preserve">16.07.2024 – Two-day awareness and training program for public institutions (80 engineers, architects, and policymakers)</w:t>
            </w:r>
          </w:p>
          <w:p>
            <w:pPr/>
            <w:r>
              <w:rPr/>
              <w:t xml:space="preserve"/>
            </w:r>
          </w:p>
          <w:p>
            <w:pPr/>
            <w:r>
              <w:rPr/>
              <w:t xml:space="preserve">26.11.2024 – Three-day training for postgraduate students (88 participants)</w:t>
            </w:r>
          </w:p>
          <w:p>
            <w:pPr/>
            <w:r>
              <w:rPr/>
              <w:t xml:space="preserve"/>
            </w:r>
          </w:p>
          <w:p>
            <w:pPr/>
            <w:r>
              <w:rPr/>
              <w:t xml:space="preserve">24.02.2025 – Three-day training for postgraduate students (54 participants)</w:t>
            </w:r>
          </w:p>
          <w:p>
            <w:pPr/>
            <w:r>
              <w:rPr/>
              <w:t xml:space="preserve"/>
            </w:r>
          </w:p>
          <w:p>
            <w:pPr/>
            <w:r>
              <w:rPr/>
              <w:t xml:space="preserve">03.05.2025 – Training and panel on new legislation for wooden buildings (civil engineers – 109 participants)</w:t>
            </w:r>
          </w:p>
          <w:p>
            <w:pPr/>
            <w:r>
              <w:rPr/>
              <w:t xml:space="preserve"/>
            </w:r>
          </w:p>
          <w:p>
            <w:pPr/>
            <w:r>
              <w:rPr/>
              <w:t xml:space="preserve">08.05.2025 – Two-day training for electrical and mechanical engineers (40 participants)</w:t>
            </w:r>
          </w:p>
          <w:p>
            <w:pPr/>
            <w:r>
              <w:rPr/>
              <w:t xml:space="preserve"/>
            </w:r>
          </w:p>
          <w:p>
            <w:pPr/>
            <w:r>
              <w:rPr/>
              <w:t xml:space="preserve">17, 24, 31.05.2025 – Three-day basic training on wooden construction for architects and civil engineers (22 participants)</w:t>
            </w:r>
          </w:p>
          <w:p>
            <w:pPr/>
            <w:r>
              <w:rPr/>
              <w:t xml:space="preserve"/>
            </w:r>
          </w:p>
          <w:p>
            <w:pPr/>
            <w:r>
              <w:rPr/>
              <w:t xml:space="preserve">02.06.2025 – Capacity-building session for construction material suppliers, focused on certification processes (51 participants)</w:t>
            </w:r>
          </w:p>
          <w:p>
            <w:pPr/>
            <w:r>
              <w:rPr/>
              <w:t xml:space="preserve"/>
            </w:r>
          </w:p>
          <w:p>
            <w:pPr/>
            <w:r>
              <w:rPr/>
              <w:t xml:space="preserve">These activities also support the groundwork for the future inclusion of wooden construction courses in university curricula. The project is laying the foundation for institutional integration by targeting assistant professors (graduate and PhD-level researchers), effectively investing in the next generation of academic leaders. This approach significantly contributes to strengthening the national wooden construction ecosystem.</w:t>
            </w:r>
          </w:p>
          <w:p>
            <w:pPr/>
            <w:r>
              <w:rPr/>
              <w:t xml:space="preserve"/>
            </w:r>
          </w:p>
          <w:p>
            <w:pPr/>
            <w:r>
              <w:rPr/>
              <w:t xml:space="preserve">All participants from these events have been enrolled in the project's communication database and will continue to benefit from ongoing information-sharing, opportunities, and technical updates. While 444 direct beneficiaries were officially recorded during this reporting period, the actual figure is believed to be higher, as the counts are based only on attendance signatures.</w:t>
            </w:r>
          </w:p>
          <w:p>
            <w:pPr/>
            <w:r>
              <w:rPr/>
              <w:t xml:space="preserve"/>
            </w:r>
          </w:p>
          <w:p>
            <w:pPr/>
            <w:r>
              <w:rPr/>
              <w:t xml:space="preserve">Participating Universities</w:t>
            </w:r>
          </w:p>
          <w:p>
            <w:pPr/>
            <w:r>
              <w:rPr/>
              <w:t xml:space="preserve">Middle East Technical University (METU)</w:t>
            </w:r>
          </w:p>
          <w:p>
            <w:pPr/>
            <w:r>
              <w:rPr/>
              <w:t xml:space="preserve">Boğaziçi University</w:t>
            </w:r>
          </w:p>
          <w:p>
            <w:pPr/>
            <w:r>
              <w:rPr/>
              <w:t xml:space="preserve">Istanbul Technical University</w:t>
            </w:r>
          </w:p>
          <w:p>
            <w:pPr/>
            <w:r>
              <w:rPr/>
              <w:t xml:space="preserve">Kocaeli University</w:t>
            </w:r>
          </w:p>
          <w:p>
            <w:pPr/>
            <w:r>
              <w:rPr/>
              <w:t xml:space="preserve">Cappadocia University</w:t>
            </w:r>
          </w:p>
          <w:p>
            <w:pPr/>
            <w:r>
              <w:rPr/>
              <w:t xml:space="preserve">Istanbul University Cerrahpaşa</w:t>
            </w:r>
          </w:p>
          <w:p>
            <w:pPr/>
            <w:r>
              <w:rPr/>
              <w:t xml:space="preserve">Gazi University</w:t>
            </w:r>
          </w:p>
          <w:p>
            <w:pPr/>
            <w:r>
              <w:rPr/>
              <w:t xml:space="preserve">Bursa Technical University</w:t>
            </w:r>
          </w:p>
          <w:p>
            <w:pPr/>
            <w:r>
              <w:rPr/>
              <w:t xml:space="preserve">Istanbul Kültür University</w:t>
            </w:r>
          </w:p>
          <w:p>
            <w:pPr/>
            <w:r>
              <w:rPr/>
              <w:t xml:space="preserve">Karadeniz Technical University</w:t>
            </w:r>
          </w:p>
          <w:p>
            <w:pPr/>
            <w:r>
              <w:rPr/>
              <w:t xml:space="preserve">Konya Technical University</w:t>
            </w:r>
          </w:p>
          <w:p>
            <w:pPr/>
            <w:r>
              <w:rPr/>
              <w:t xml:space="preserve">Bartın University</w:t>
            </w:r>
          </w:p>
          <w:p>
            <w:pPr/>
            <w:r>
              <w:rPr/>
              <w:t xml:space="preserve">Dokuz Eylül University</w:t>
            </w:r>
          </w:p>
          <w:p>
            <w:pPr/>
            <w:r>
              <w:rPr/>
              <w:t xml:space="preserve">Isparta University of Applied Sciences</w:t>
            </w:r>
          </w:p>
          <w:p>
            <w:pPr/>
            <w:r>
              <w:rPr/>
              <w:t xml:space="preserve">Kastamonu University</w:t>
            </w:r>
          </w:p>
          <w:p>
            <w:pPr/>
            <w:r>
              <w:rPr/>
              <w:t xml:space="preserve">Düzce University</w:t>
            </w:r>
          </w:p>
          <w:p>
            <w:pPr/>
            <w:r>
              <w:rPr/>
              <w:t xml:space="preserve">Kahramanmaraş Sütçü İmam University</w:t>
            </w:r>
          </w:p>
          <w:p>
            <w:pPr/>
            <w:r>
              <w:rPr/>
              <w:t xml:space="preserve">Eskişehir Technical University</w:t>
            </w:r>
          </w:p>
          <w:p>
            <w:pPr/>
            <w:r>
              <w:rPr/>
              <w:t xml:space="preserve">Akdeniz University</w:t>
            </w:r>
          </w:p>
          <w:p>
            <w:pPr/>
            <w:r>
              <w:rPr/>
              <w:t xml:space="preserve">Çukurova University</w:t>
            </w:r>
          </w:p>
          <w:p>
            <w:pPr/>
            <w:r>
              <w:rPr/>
              <w:t xml:space="preserve">Ege University</w:t>
            </w:r>
          </w:p>
          <w:p>
            <w:pPr/>
            <w:r>
              <w:rPr/>
              <w:t xml:space="preserve">İzmir Katip Çelebi University</w:t>
            </w:r>
          </w:p>
          <w:p>
            <w:pPr/>
            <w:r>
              <w:rPr/>
              <w:t xml:space="preserve">Kırıkkale University</w:t>
            </w:r>
          </w:p>
          <w:p>
            <w:pPr/>
            <w:r>
              <w:rPr/>
              <w:t xml:space="preserve">Sakarya University</w:t>
            </w:r>
          </w:p>
          <w:p>
            <w:pPr/>
            <w:r>
              <w:rPr/>
              <w:t xml:space="preserve">Yeditepe University</w:t>
            </w:r>
          </w:p>
          <w:p>
            <w:pPr/>
            <w:r>
              <w:rPr/>
              <w:t xml:space="preserve">Beykent University</w:t>
            </w:r>
          </w:p>
          <w:p>
            <w:pPr/>
            <w:r>
              <w:rPr/>
              <w:t xml:space="preserve">Ankara University</w:t>
            </w:r>
          </w:p>
          <w:p>
            <w:pPr/>
            <w:r>
              <w:rPr/>
              <w:t xml:space="preserve">Uludağ University</w:t>
            </w:r>
          </w:p>
          <w:p>
            <w:pPr/>
            <w:r>
              <w:rPr/>
              <w:t xml:space="preserve">Özyeğin University</w:t>
            </w:r>
          </w:p>
          <w:p>
            <w:pPr/>
            <w:r>
              <w:rPr/>
              <w:t xml:space="preserve"/>
            </w:r>
          </w:p>
          <w:p>
            <w:pPr/>
            <w:r>
              <w:rPr/>
              <w:t xml:space="preserve">Participating Public Institutions:</w:t>
            </w:r>
          </w:p>
          <w:p>
            <w:pPr/>
            <w:r>
              <w:rPr/>
              <w:t xml:space="preserve">Presidency of Strategy and Budget</w:t>
            </w:r>
          </w:p>
          <w:p>
            <w:pPr/>
            <w:r>
              <w:rPr/>
              <w:t xml:space="preserve">Ministry of Environment, Urbanization and Climate Change</w:t>
            </w:r>
          </w:p>
          <w:p>
            <w:pPr/>
            <w:r>
              <w:rPr/>
              <w:t xml:space="preserve">Ministry of National Education</w:t>
            </w:r>
          </w:p>
          <w:p>
            <w:pPr/>
            <w:r>
              <w:rPr/>
              <w:t xml:space="preserve">Housing Development Administration (TOKI)</w:t>
            </w:r>
          </w:p>
          <w:p>
            <w:pPr/>
            <w:r>
              <w:rPr/>
              <w:t xml:space="preserve">General Directorate of Highways</w:t>
            </w:r>
          </w:p>
          <w:p>
            <w:pPr/>
            <w:r>
              <w:rPr/>
              <w:t xml:space="preserve">State Hydraulic Works (DSİ)</w:t>
            </w:r>
          </w:p>
          <w:p>
            <w:pPr/>
            <w:r>
              <w:rPr/>
              <w:t xml:space="preserve">Directorate General of Nature Conservation and National Parks</w:t>
            </w:r>
          </w:p>
          <w:p>
            <w:pPr/>
            <w:r>
              <w:rPr/>
              <w:t xml:space="preserve">PTT (Post and Telegraph Organization)</w:t>
            </w:r>
          </w:p>
          <w:p>
            <w:pPr/>
            <w:r>
              <w:rPr/>
              <w:t xml:space="preserve">Grand National Assembly of Türkiye (TBMM)</w:t>
            </w:r>
          </w:p>
          <w:p>
            <w:pPr/>
            <w:r>
              <w:rPr/>
              <w:t xml:space="preserve"/>
            </w:r>
          </w:p>
          <w:p>
            <w:pPr/>
            <w:r>
              <w:rPr/>
              <w:t xml:space="preserve">Private Sector Engagement</w:t>
            </w:r>
          </w:p>
          <w:p>
            <w:pPr/>
            <w:r>
              <w:rPr/>
              <w:t xml:space="preserve">A total of 56 private sector companies participated in these events. Although their names are documented in the attendance records, they are not individually listed in this report.</w:t>
            </w:r>
          </w:p>
        </w:tc>
      </w:tr>
      <w:tr>
        <w:trPr/>
        <w:tc>
          <w:tcPr>
            <w:tcW w:w="4000" w:type="dxa"/>
            <w:gridSpan w:val="1"/>
            <w:noWrap/>
          </w:tcPr>
          <w:p>
            <w:pPr/>
            <w:r>
              <w:rPr>
                <w:b w:val="1"/>
                <w:bCs w:val="1"/>
              </w:rPr>
              <w:t xml:space="preserve">The progress of the objective/outcome can be described as:</w:t>
            </w:r>
          </w:p>
        </w:tc>
        <w:tc>
          <w:tcPr>
            <w:tcW w:w="12000" w:type="dxa"/>
            <w:gridSpan w:val="5"/>
            <w:noWrap/>
          </w:tcPr>
          <w:p>
            <w:pPr/>
            <w:r>
              <w:rPr>
                <w:b w:val="1"/>
                <w:bCs w:val="1"/>
              </w:rPr>
              <w:t xml:space="preserve">On track</w:t>
            </w:r>
          </w:p>
        </w:tc>
      </w:tr>
      <w:tr>
        <w:trPr/>
        <w:tc>
          <w:tcPr>
            <w:tcW w:w="4000" w:type="dxa"/>
            <w:gridSpan w:val="1"/>
            <w:noWrap/>
          </w:tcPr>
          <w:p>
            <w:pPr/>
            <w:r>
              <w:rPr>
                <w:b w:val="1"/>
                <w:bCs w:val="1"/>
              </w:rPr>
              <w:t xml:space="preserve">Evidence uploaded:</w:t>
            </w:r>
          </w:p>
        </w:tc>
        <w:tc>
          <w:tcPr>
            <w:tcW w:w="12000" w:type="dxa"/>
            <w:gridSpan w:val="5"/>
            <w:noWrap/>
          </w:tcPr>
          <w:p>
            <w:pPr/>
            <w:r>
              <w:rPr/>
              <w:t xml:space="preserve">YES</w:t>
            </w:r>
          </w:p>
        </w:tc>
      </w:tr>
    </w:tbl>
    <w:p>
      <w:pPr>
        <w:pStyle w:val="Heading2"/>
      </w:pPr>
      <w:bookmarkStart w:id="4" w:name="_Toc4"/>
      <w:r>
        <w:t>Action plan</w:t>
      </w:r>
      <w:bookmarkEnd w:id="4"/>
    </w:p>
    <w:tbl>
      <w:tblGrid>
        <w:gridCol w:w="3000" w:type="dxa"/>
        <w:gridCol w:w="5000" w:type="dxa"/>
        <w:gridCol w:w="5000" w:type="dxa"/>
        <w:gridCol w:w="3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3000" w:type="dxa"/>
            <w:gridSpan w:val="1"/>
            <w:noWrap/>
          </w:tcPr>
          <w:p>
            <w:pPr/>
            <w:r>
              <w:rPr>
                <w:b w:val="1"/>
                <w:bCs w:val="1"/>
              </w:rPr>
              <w:t xml:space="preserve">Off-track objective/outcome</w:t>
            </w:r>
          </w:p>
        </w:tc>
        <w:tc>
          <w:tcPr>
            <w:tcW w:w="5000" w:type="dxa"/>
            <w:gridSpan w:val="1"/>
            <w:noWrap/>
          </w:tcPr>
          <w:p>
            <w:pPr/>
            <w:r>
              <w:rPr>
                <w:b w:val="1"/>
                <w:bCs w:val="1"/>
              </w:rPr>
              <w:t xml:space="preserve">Action(s) to be taken</w:t>
            </w:r>
          </w:p>
        </w:tc>
        <w:tc>
          <w:tcPr>
            <w:tcW w:w="5000" w:type="dxa"/>
            <w:gridSpan w:val="1"/>
            <w:noWrap/>
          </w:tcPr>
          <w:p>
            <w:pPr/>
            <w:r>
              <w:rPr>
                <w:b w:val="1"/>
                <w:bCs w:val="1"/>
              </w:rPr>
              <w:t xml:space="preserve">Responsible party/ies</w:t>
            </w:r>
          </w:p>
        </w:tc>
        <w:tc>
          <w:tcPr>
            <w:tcW w:w="3000" w:type="dxa"/>
            <w:gridSpan w:val="1"/>
            <w:noWrap/>
          </w:tcPr>
          <w:p>
            <w:pPr/>
            <w:r>
              <w:rPr>
                <w:b w:val="1"/>
                <w:bCs w:val="1"/>
              </w:rPr>
              <w:t xml:space="preserve">Due Date</w:t>
            </w:r>
          </w:p>
        </w:tc>
      </w:tr>
      <w:tr>
        <w:trPr/>
        <w:tc>
          <w:tcPr>
            <w:tcW w:w="3000" w:type="dxa"/>
            <w:gridSpan w:val="1"/>
            <w:noWrap/>
          </w:tcPr>
          <w:p>
            <w:pPr/>
            <w:r>
              <w:rPr/>
              <w:t xml:space="preserve">Outcome 1</w:t>
            </w:r>
          </w:p>
        </w:tc>
        <w:tc>
          <w:tcPr>
            <w:tcW w:w="5000" w:type="dxa"/>
            <w:gridSpan w:val="1"/>
            <w:noWrap/>
          </w:tcPr>
          <w:p>
            <w:pPr/>
            <w:r>
              <w:rPr/>
              <w:t xml:space="preserve">GDF continues to face challenges in contracting both international and national experts. Although preparing smaller work packages has partially facilitated the hiring of national consultants, it remains difficult to engage international consultants due to payment issues related to the use of Turkish Lira. Some progress was made during the July 2024 – June 2025 PIR period, as noted in the DO Progress section of this PIR. While this represents an improvement compared to the 2024 PIR period, the PMU has decided to mark Component 1 as Off-Track, as the activities remain behind schedule according to the AWP.</w:t>
            </w:r>
          </w:p>
          <w:p>
            <w:pPr/>
            <w:r>
              <w:rPr/>
              <w:t xml:space="preserve"/>
            </w:r>
          </w:p>
          <w:p>
            <w:pPr/>
            <w:r>
              <w:rPr/>
              <w:t xml:space="preserve">It has been tested and confirmed that working with smaller work packages yields positive results. Therefore, GDF will continue to prepare shorter contracts to hire local consultants for legislative work, in line with its procurement rules. This time, however, GDF will aim to contract multiple work packages simultaneously in order to catch up with the work schedule.</w:t>
            </w:r>
          </w:p>
        </w:tc>
        <w:tc>
          <w:tcPr>
            <w:tcW w:w="5000" w:type="dxa"/>
            <w:gridSpan w:val="1"/>
            <w:noWrap/>
          </w:tcPr>
          <w:p>
            <w:pPr/>
            <w:r>
              <w:rPr/>
              <w:t xml:space="preserve">GDF, UNDP</w:t>
            </w:r>
          </w:p>
        </w:tc>
        <w:tc>
          <w:tcPr>
            <w:tcW w:w="3000" w:type="dxa"/>
            <w:gridSpan w:val="1"/>
            <w:noWrap/>
          </w:tcPr>
          <w:p>
            <w:pPr/>
            <w:r>
              <w:rPr/>
              <w:t xml:space="preserve">Jun 1, 2026</w:t>
            </w:r>
          </w:p>
        </w:tc>
      </w:tr>
    </w:tbl>
    <w:p>
      <w:pPr>
        <w:sectPr>
          <w:pgSz w:orient="landscape" w:w="16837.79527559055" w:h="11905.511811023622"/>
          <w:pgMar w:top="500" w:right="500" w:bottom="500" w:left="500" w:header="720" w:footer="720" w:gutter="0"/>
          <w:cols w:num="1" w:space="720"/>
        </w:sectPr>
      </w:pPr>
    </w:p>
    <w:p>
      <w:pPr>
        <w:pStyle w:val="Heading1"/>
      </w:pPr>
      <w:bookmarkStart w:id="5" w:name="_Toc5"/>
      <w:r>
        <w:t>Finance/Co-Finance</w:t>
      </w:r>
      <w:bookmarkEnd w:id="5"/>
    </w:p>
    <w:tbl>
      <w:tblGrid>
        <w:gridCol w:w="5000" w:type="dxa"/>
        <w:gridCol w:w="5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5000" w:type="dxa"/>
            <w:gridSpan w:val="1"/>
            <w:noWrap/>
          </w:tcPr>
          <w:p>
            <w:pPr/>
            <w:r>
              <w:rPr/>
              <w:t xml:space="preserve">Cumulative GL delivery against total approved amount (in prodoc):</w:t>
            </w:r>
          </w:p>
        </w:tc>
        <w:tc>
          <w:tcPr>
            <w:tcW w:w="5000" w:type="dxa"/>
            <w:vAlign w:val="center"/>
            <w:gridSpan w:val="1"/>
            <w:noWrap/>
          </w:tcPr>
          <w:p>
            <w:pPr>
              <w:jc w:val="right"/>
            </w:pPr>
            <w:r>
              <w:rPr/>
              <w:t xml:space="preserve">7.49%</w:t>
            </w:r>
          </w:p>
        </w:tc>
      </w:tr>
      <w:tr>
        <w:trPr/>
        <w:tc>
          <w:tcPr>
            <w:tcW w:w="5000" w:type="dxa"/>
            <w:gridSpan w:val="1"/>
            <w:noWrap/>
          </w:tcPr>
          <w:p>
            <w:pPr/>
            <w:r>
              <w:rPr/>
              <w:t xml:space="preserve">Cumulative GL delivery against expected delivery as of this year:</w:t>
            </w:r>
          </w:p>
        </w:tc>
        <w:tc>
          <w:tcPr>
            <w:tcW w:w="5000" w:type="dxa"/>
            <w:vAlign w:val="center"/>
            <w:gridSpan w:val="1"/>
            <w:noWrap/>
          </w:tcPr>
          <w:p>
            <w:pPr>
              <w:jc w:val="right"/>
            </w:pPr>
            <w:r>
              <w:rPr/>
              <w:t xml:space="preserve">11.27%</w:t>
            </w:r>
          </w:p>
        </w:tc>
      </w:tr>
      <w:tr>
        <w:trPr/>
        <w:tc>
          <w:tcPr>
            <w:tcW w:w="5000" w:type="dxa"/>
            <w:vAlign w:val="center"/>
            <w:noWrap/>
          </w:tcPr>
          <w:p>
            <w:pPr/>
            <w:r>
              <w:rPr/>
              <w:t xml:space="preserve">Cumulative disbursement as of Jun 30, 2025:</w:t>
            </w:r>
          </w:p>
          <w:p>
            <w:pPr/>
            <w:r>
              <w:rPr>
                <w:i w:val="1"/>
                <w:iCs w:val="1"/>
              </w:rPr>
              <w:t xml:space="preserve">
*Disbursement for the FY 2025 period is an estimate as books for UNDP Q2 2025 are not yet closed.</w:t>
            </w:r>
          </w:p>
        </w:tc>
        <w:tc>
          <w:tcPr>
            <w:tcW w:w="5000" w:type="dxa"/>
            <w:vAlign w:val="center"/>
            <w:gridSpan w:val="1"/>
            <w:noWrap/>
          </w:tcPr>
          <w:p>
            <w:pPr>
              <w:jc w:val="right"/>
            </w:pPr>
            <w:r>
              <w:rPr/>
              <w:t xml:space="preserve">284,614</w:t>
            </w:r>
          </w:p>
        </w:tc>
      </w:tr>
    </w:tbl>
    <w:p>
      <w:pPr>
        <w:pStyle w:val="Heading2"/>
      </w:pPr>
      <w:bookmarkStart w:id="6" w:name="_Toc6"/>
      <w:r>
        <w:t>Key Financing Amounts</w:t>
      </w:r>
      <w:bookmarkEnd w:id="6"/>
    </w:p>
    <w:tbl>
      <w:tblGrid>
        <w:gridCol w:w="5000" w:type="dxa"/>
        <w:gridCol w:w="5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5000" w:type="dxa"/>
            <w:gridSpan w:val="1"/>
            <w:noWrap/>
          </w:tcPr>
          <w:p>
            <w:pPr/>
            <w:r>
              <w:rPr/>
              <w:t xml:space="preserve">PPG Amount</w:t>
            </w:r>
          </w:p>
        </w:tc>
        <w:tc>
          <w:tcPr>
            <w:tcW w:w="5000" w:type="dxa"/>
            <w:vAlign w:val="center"/>
            <w:gridSpan w:val="1"/>
            <w:noWrap/>
          </w:tcPr>
          <w:p>
            <w:pPr>
              <w:jc w:val="right"/>
            </w:pPr>
            <w:r>
              <w:rPr/>
              <w:t xml:space="preserve">100,000</w:t>
            </w:r>
          </w:p>
        </w:tc>
      </w:tr>
      <w:tr>
        <w:trPr/>
        <w:tc>
          <w:tcPr>
            <w:tcW w:w="5000" w:type="dxa"/>
            <w:gridSpan w:val="1"/>
            <w:noWrap/>
          </w:tcPr>
          <w:p>
            <w:pPr/>
            <w:r>
              <w:rPr/>
              <w:t xml:space="preserve">GEF Grant Amount</w:t>
            </w:r>
          </w:p>
        </w:tc>
        <w:tc>
          <w:tcPr>
            <w:tcW w:w="5000" w:type="dxa"/>
            <w:vAlign w:val="center"/>
            <w:gridSpan w:val="1"/>
            <w:noWrap/>
          </w:tcPr>
          <w:p>
            <w:pPr>
              <w:jc w:val="right"/>
            </w:pPr>
            <w:r>
              <w:rPr/>
              <w:t xml:space="preserve">3,800,000</w:t>
            </w:r>
          </w:p>
        </w:tc>
      </w:tr>
      <w:tr>
        <w:trPr/>
        <w:tc>
          <w:tcPr>
            <w:tcW w:w="5000" w:type="dxa"/>
            <w:gridSpan w:val="1"/>
            <w:noWrap/>
          </w:tcPr>
          <w:p>
            <w:pPr/>
            <w:r>
              <w:rPr/>
              <w:t xml:space="preserve">Co-financing</w:t>
            </w:r>
          </w:p>
        </w:tc>
        <w:tc>
          <w:tcPr>
            <w:tcW w:w="5000" w:type="dxa"/>
            <w:vAlign w:val="center"/>
            <w:gridSpan w:val="1"/>
            <w:noWrap/>
          </w:tcPr>
          <w:p>
            <w:pPr>
              <w:jc w:val="right"/>
            </w:pPr>
            <w:r>
              <w:rPr/>
              <w:t xml:space="preserve">49,200,000</w:t>
            </w:r>
          </w:p>
        </w:tc>
      </w:tr>
    </w:tbl>
    <w:p>
      <w:pPr>
        <w:sectPr>
          <w:pgSz w:orient="portrait" w:w="11905.511811023622" w:h="16837.79527559055"/>
          <w:pgMar w:top="1440" w:right="1440" w:bottom="1440" w:left="1440" w:header="720" w:footer="720" w:gutter="0"/>
          <w:cols w:num="1" w:space="720"/>
        </w:sectPr>
      </w:pPr>
    </w:p>
    <w:p>
      <w:pPr>
        <w:pStyle w:val="Heading1"/>
      </w:pPr>
      <w:bookmarkStart w:id="7" w:name="_Toc7"/>
      <w:r>
        <w:t>Implementation Progress</w:t>
      </w:r>
      <w:bookmarkEnd w:id="7"/>
    </w:p>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Project Manager: Please provide comments on delays with outputs/activities during the period 1 July 2024 through 30 June 2025.  If there were no delays, please indicate 'not applicable'.</w:t>
            </w:r>
          </w:p>
        </w:tc>
      </w:tr>
      <w:tr>
        <w:trPr/>
        <w:tc>
          <w:tcPr>
            <w:tcW w:w="10000" w:type="dxa"/>
            <w:gridSpan w:val="1"/>
            <w:noWrap/>
          </w:tcPr>
          <w:p>
            <w:pPr/>
            <w:r>
              <w:rPr/>
              <w:t xml:space="preserve">Delays in procurement processes have had a direct impact on the recruitment of technical consultants, which in turn has slowed the progress of critical legislative components of the project. The legislative work, particularly the revision of building codes, requires specialized expertise that could not be fully mobilized due to administrative and procedural bottlenecks in procurement.</w:t>
            </w:r>
          </w:p>
          <w:p>
            <w:pPr/>
            <w:r>
              <w:rPr/>
              <w:t xml:space="preserve"/>
            </w:r>
          </w:p>
          <w:p>
            <w:pPr/>
            <w:r>
              <w:rPr/>
              <w:t xml:space="preserve">In response, the project team adopted a flexible and solution-oriented approach by designing smaller, modular work packages. This strategy enabled the project to proceed with partial contracting, allowing specific tasks to be assigned to individual experts under more manageable scopes. As a result, despite the overall delays, several key activities within the legislative track were successfully initiated and partially delivered.</w:t>
            </w:r>
          </w:p>
          <w:p>
            <w:pPr/>
            <w:r>
              <w:rPr/>
              <w:t xml:space="preserve"/>
            </w:r>
          </w:p>
          <w:p>
            <w:pPr/>
            <w:r>
              <w:rPr/>
              <w:t xml:space="preserve">While this workaround allowed some progress, the broader impact of procurement delays remains evident. If the required consultants had been onboarded on time, the pace of implementation and the quantity and quality of legislative outputs would have been significantly higher during this reporting period.</w:t>
            </w:r>
          </w:p>
          <w:p>
            <w:pPr/>
            <w:r>
              <w:rPr/>
              <w:t xml:space="preserve"/>
            </w:r>
          </w:p>
          <w:p>
            <w:pPr/>
            <w:r>
              <w:rPr/>
              <w:t xml:space="preserve">The project will try to improve procurement to avoid delays and ensure expert support continues for legislative work.</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CO Programme Officer: Please include specific measures to manage the project's implementation performance</w:t>
            </w:r>
          </w:p>
          <w:p>
            <w:pPr/>
            <w:r>
              <w:rPr>
                <w:b w:val="1"/>
                <w:bCs w:val="1"/>
              </w:rPr>
              <w:t xml:space="preserve"/>
            </w:r>
          </w:p>
          <w:p>
            <w:pPr/>
            <w:r>
              <w:rPr>
                <w:b w:val="1"/>
                <w:bCs w:val="1"/>
              </w:rPr>
              <w:t xml:space="preserve"/>
            </w:r>
          </w:p>
        </w:tc>
      </w:tr>
      <w:tr>
        <w:trPr/>
        <w:tc>
          <w:tcPr>
            <w:tcW w:w="10000" w:type="dxa"/>
            <w:gridSpan w:val="1"/>
            <w:noWrap/>
          </w:tcPr>
          <w:p>
            <w:pPr/>
            <w:r>
              <w:rPr/>
              <w:t xml:space="preserve">To strengthen the project's implementation performance in light of procurement-related delays, the IP is adopting several targeted measures. These include revising the procurement plan to prioritize legislative consultancy packages, initiating preparatory procurement actions in advance where feasible. The modular, task-based contracting approach piloted during this period will be scaled up, to allow quicker onboarding of specialists for specific deliverables. These steps aim to ensure timely expert support, particularly for the legislative components, and maintain the project's overall implementation momentum, even though there are structural limitations in the IP.</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BPPS RTA: Please include specific measures to manage the project's implementation performance.</w:t>
            </w:r>
          </w:p>
        </w:tc>
      </w:tr>
      <w:tr>
        <w:trPr/>
        <w:tc>
          <w:tcPr>
            <w:tcW w:w="10000" w:type="dxa"/>
            <w:gridSpan w:val="1"/>
            <w:noWrap/>
          </w:tcPr>
          <w:p>
            <w:pPr/>
            <w:r>
              <w:rPr/>
              <w:t xml:space="preserve">Following GEF rejection of the additional execution services to be provided by UNDP, the country office and the implementing partners have been advised to immediately re-assess other feasible options to overcome procurement challenges - including through exploring sub-contracting an additional responsible party (including international organisations or NGOs) or revisiting the workplans with GDF with the aim to re-assess procurement planning. UNDP procurement advisor can be engaged in the conversation, would there be a need for that.</w:t>
            </w:r>
          </w:p>
        </w:tc>
      </w:tr>
    </w:tbl>
    <w:p>
      <w:pPr>
        <w:sectPr>
          <w:pgSz w:orient="portrait" w:w="11905.511811023622" w:h="16837.79527559055"/>
          <w:pgMar w:top="1440" w:right="1440" w:bottom="1440" w:left="1440" w:header="720" w:footer="720" w:gutter="0"/>
          <w:cols w:num="1" w:space="720"/>
        </w:sectPr>
      </w:pPr>
    </w:p>
    <w:p>
      <w:pPr>
        <w:pStyle w:val="Heading1"/>
      </w:pPr>
      <w:bookmarkStart w:id="8" w:name="_Toc8"/>
      <w:r>
        <w:t>Project Governance</w:t>
      </w:r>
      <w:bookmarkEnd w:id="8"/>
    </w:p>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1) Please enter the dates of Project Board meetings during the reporting period (1 July 2024 to 30 June 2025)</w:t>
            </w:r>
          </w:p>
        </w:tc>
      </w:tr>
      <w:tr>
        <w:trPr/>
        <w:tc>
          <w:tcPr>
            <w:tcW w:w="10000" w:type="dxa"/>
            <w:gridSpan w:val="1"/>
            <w:noWrap/>
          </w:tcPr>
          <w:p>
            <w:pPr/>
            <w:r>
              <w:rPr/>
              <w:t xml:space="preserve">2024-11-01</w:t>
            </w:r>
          </w:p>
        </w:tc>
      </w:tr>
    </w:tbl>
    <w:p>
      <w:pPr>
        <w:sectPr>
          <w:pgSz w:orient="portrait" w:w="11905.511811023622" w:h="16837.79527559055"/>
          <w:pgMar w:top="1440" w:right="1440" w:bottom="1440" w:left="1440" w:header="720" w:footer="720" w:gutter="0"/>
          <w:cols w:num="1" w:space="720"/>
        </w:sectPr>
      </w:pPr>
    </w:p>
    <w:p>
      <w:pPr>
        <w:pStyle w:val="Heading1"/>
      </w:pPr>
      <w:bookmarkStart w:id="9" w:name="_Toc9"/>
      <w:r>
        <w:t>Ratings and Overall Assessments</w:t>
      </w:r>
      <w:bookmarkEnd w:id="9"/>
    </w:p>
    <w:tbl>
      <w:tblGrid>
        <w:gridCol w:w="5000" w:type="dxa"/>
        <w:gridCol w:w="5000" w:type="dxa"/>
        <w:gridCol w:w="5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5000" w:type="dxa"/>
            <w:gridSpan w:val="1"/>
            <w:noWrap/>
          </w:tcPr>
          <w:p>
            <w:pPr/>
            <w:r>
              <w:rPr>
                <w:b w:val="1"/>
                <w:bCs w:val="1"/>
              </w:rPr>
              <w:t xml:space="preserve">Role</w:t>
            </w:r>
          </w:p>
        </w:tc>
        <w:tc>
          <w:tcPr>
            <w:tcW w:w="5000" w:type="dxa"/>
            <w:gridSpan w:val="1"/>
            <w:noWrap/>
          </w:tcPr>
          <w:p>
            <w:pPr/>
            <w:r>
              <w:rPr>
                <w:b w:val="1"/>
                <w:bCs w:val="1"/>
              </w:rPr>
              <w:t xml:space="preserve">2025 Development Objective Progress Rating</w:t>
            </w:r>
          </w:p>
        </w:tc>
        <w:tc>
          <w:tcPr>
            <w:tcW w:w="5000" w:type="dxa"/>
            <w:gridSpan w:val="1"/>
            <w:noWrap/>
          </w:tcPr>
          <w:p>
            <w:pPr/>
            <w:r>
              <w:rPr>
                <w:b w:val="1"/>
                <w:bCs w:val="1"/>
              </w:rPr>
              <w:t xml:space="preserve">2025 Implementation Progress Rating</w:t>
            </w:r>
          </w:p>
        </w:tc>
      </w:tr>
      <w:tr>
        <w:trPr/>
        <w:tc>
          <w:tcPr>
            <w:tcW w:w="5000" w:type="dxa"/>
            <w:gridSpan w:val="1"/>
            <w:noWrap/>
          </w:tcPr>
          <w:p>
            <w:pPr/>
            <w:r>
              <w:rPr>
                <w:b w:val="1"/>
                <w:bCs w:val="1"/>
              </w:rPr>
              <w:t xml:space="preserve">UNDP BPPS Technical Advisor</w:t>
            </w:r>
          </w:p>
        </w:tc>
        <w:tc>
          <w:tcPr>
            <w:tcW w:w="5000" w:type="dxa"/>
            <w:gridSpan w:val="1"/>
            <w:noWrap/>
          </w:tcPr>
          <w:p>
            <w:pPr/>
            <w:r>
              <w:rPr/>
              <w:t xml:space="preserve">Moderately Satisfactory</w:t>
            </w:r>
          </w:p>
        </w:tc>
        <w:tc>
          <w:tcPr>
            <w:tcW w:w="5000" w:type="dxa"/>
            <w:gridSpan w:val="1"/>
            <w:noWrap/>
          </w:tcPr>
          <w:p>
            <w:pPr/>
            <w:r>
              <w:rPr/>
              <w:t xml:space="preserve">Moderately Satisfactory</w:t>
            </w:r>
          </w:p>
        </w:tc>
      </w:tr>
    </w:tbl>
    <w:p>
      <w:pPr/>
      <w:r>
        <w:rPr/>
        <w:t xml:space="preserve"/>
      </w:r>
    </w:p>
    <w:tbl>
      <w:tblGrid>
        <w:gridCol w:w="5000" w:type="dxa"/>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5000" w:type="dxa"/>
            <w:gridSpan w:val="1"/>
            <w:noWrap/>
          </w:tcPr>
          <w:p>
            <w:pPr/>
            <w:r>
              <w:rPr>
                <w:b w:val="1"/>
                <w:bCs w:val="1"/>
              </w:rPr>
              <w:t xml:space="preserve">Role</w:t>
            </w:r>
          </w:p>
        </w:tc>
        <w:tc>
          <w:tcPr>
            <w:tcW w:w="10000" w:type="dxa"/>
            <w:gridSpan w:val="1"/>
            <w:noWrap/>
          </w:tcPr>
          <w:p>
            <w:pPr/>
            <w:r>
              <w:rPr>
                <w:b w:val="1"/>
                <w:bCs w:val="1"/>
              </w:rPr>
              <w:t xml:space="preserve">2025 Overall Assessment</w:t>
            </w:r>
          </w:p>
        </w:tc>
      </w:tr>
      <w:tr>
        <w:trPr/>
        <w:tc>
          <w:tcPr>
            <w:tcW w:w="5000" w:type="dxa"/>
            <w:gridSpan w:val="1"/>
            <w:noWrap/>
          </w:tcPr>
          <w:p>
            <w:pPr/>
            <w:r>
              <w:rPr>
                <w:b w:val="1"/>
                <w:bCs w:val="1"/>
              </w:rPr>
              <w:t xml:space="preserve">UNDP BPPS Technical Advisor</w:t>
            </w:r>
          </w:p>
        </w:tc>
        <w:tc>
          <w:tcPr>
            <w:tcW w:w="10000" w:type="dxa"/>
            <w:gridSpan w:val="1"/>
            <w:noWrap/>
          </w:tcPr>
          <w:p>
            <w:pPr/>
            <w:r>
              <w:rPr/>
              <w:t xml:space="preserve">This six-year initiative is moderately progressing toward its goal of fostering and scaling up the use of innovative wood-based technologies as a low-carbon alternative in Türkiye’s construction sector. Over the past year, its focus was primarily on the reinforcement of institutional capacity to support wood construction and the broadening of training, outreach, and initiation of work to amend Türkiye’s earthquake building code in favour of wooden structures. The project fully completed its 2nd year of implementation as of June 2025, during which the project deployed technical expertise for the first time during preparations for construction of wooden buildings.</w:t>
            </w:r>
          </w:p>
          <w:p>
            <w:pPr/>
            <w:r>
              <w:rPr/>
              <w:t xml:space="preserve"/>
            </w:r>
          </w:p>
          <w:p>
            <w:pPr/>
            <w:r>
              <w:rPr/>
              <w:t xml:space="preserve">DEVELOPMENT OBJECTIVE PROGRESS</w:t>
            </w:r>
          </w:p>
          <w:p>
            <w:pPr/>
            <w:r>
              <w:rPr/>
              <w:t xml:space="preserve"/>
            </w:r>
          </w:p>
          <w:p>
            <w:pPr/>
            <w:r>
              <w:rPr/>
              <w:t xml:space="preserve">The development objective remains rated as moderately satisfactory for this reporting period. The project has been on track to achieve its overarching targets, with several outcomes already meeting midterm milestones. However, overall delay in supporting legislative work, including reports, policies, strategies, standards, legislation, and an MRV system to promote low-cost, energy-efficient wooden buildings with near-zero emissions—has in this period slowed down the overall progress of the project (as an important building block for ensuring standards are also applied across all other project activities). Immediate adaptive management is required for the next reporting period to ensure further procurement delays do not accumulate and prevent the project from reaching all its objectives.</w:t>
            </w:r>
          </w:p>
          <w:p>
            <w:pPr/>
            <w:r>
              <w:rPr/>
              <w:t xml:space="preserve"/>
            </w:r>
          </w:p>
          <w:p>
            <w:pPr/>
            <w:r>
              <w:rPr/>
              <w:t xml:space="preserve">On a positive note, direct beneficiaries increased markedly from 66 in June 2024 to 444 officially recorded this year, with women representing approximately 21 percent of participants. These beneficiaries engaged in a diverse series of seven capacity-building and awareness events, ranging from technical training for public sector engineers and architects to certification workshops for construction material suppliers. Indirect beneficiaries have also begun to be recorded, with 426 individuals—evenly split between women and men—expected to be housed in newly constructed General Directorate of Forestry (GDF) wooden apartment units. The project shall confirm in the next reporting period the occupancy rate based on the real numbers, if such data can be obtained, given the current reported data are based on assumptions only. This can be done, e.g., by comparing household sizes reported by tenants and those recorded by building managers or utility usage (e.g., water/electric meter patterns can flag occupancy changes) (recommendation 1).</w:t>
            </w:r>
          </w:p>
          <w:p>
            <w:pPr/>
            <w:r>
              <w:rPr/>
              <w:t xml:space="preserve"/>
            </w:r>
          </w:p>
          <w:p>
            <w:pPr/>
            <w:r>
              <w:rPr/>
              <w:t xml:space="preserve">Based on the completed wooden buildings funded by GDF, an estimated 10,652 tonnes of CO₂ equivalent emissions have been avoided and 92.10 terajoules of energy saved over the lifetime of these structures. (The calculation assumptions were provided.) These figures will continue to rise as more of GDF’s co-financed projects are commissioned and occupied. While the financial support mechanism for SMEs, using GEF grant, has yet to be operationalized, the scale of wooden building construction already achieved—nearly four times the original Phase I target—demonstrates that the project’s enabling role, in the form of technical advisory services provided by the project, is yielding first tangible outcomes. This technical advisory work provided by the project in the last 12 months included on-site engineering services such as compliance of wooden constructions to building standards and correct site application of the designs. Below is the outline of progress under individual outcomes:</w:t>
            </w:r>
          </w:p>
          <w:p>
            <w:pPr/>
            <w:r>
              <w:rPr/>
              <w:t xml:space="preserve"/>
            </w:r>
          </w:p>
          <w:p>
            <w:pPr/>
            <w:r>
              <w:rPr/>
              <w:t xml:space="preserve">Outcome 1 – Enhanced Legislation and Regulations</w:t>
            </w:r>
          </w:p>
          <w:p>
            <w:pPr/>
            <w:r>
              <w:rPr/>
              <w:t xml:space="preserve">Progress under Outcome 1 remains off track due to continuing procurement challenges faced by GDF under the National Implementation Modality. Although the project succeeded in initiating engagement with key regulatory bodies, including the Disaster and Emergency Management Presidency (local abbreviation AFAD), the Ministry of Environment, Urbanization, and Climate Change, and other relevant ministries, the inability to contract international experts or issue multi-year agreements in foreign currency continues to hinder comprehensive legislative work. Nonetheless, the project has taken an important first step by formally submitting a request to AFAD to revise the Earthquake Building Regulation. This revision is essential to lifting the current three-story limit for wooden buildings and enabling the cost-effective deployment of Cross-Laminated Timber (CLT) technologies.</w:t>
            </w:r>
          </w:p>
          <w:p>
            <w:pPr/>
            <w:r>
              <w:rPr/>
              <w:t xml:space="preserve">Partial agreements with national academicians allowed for the preparation of initial background materials for a national strategy on wooden buildings and draft content for new standards and guidelines. These drafts have not yet been finalized but indicate that, despite structural obstacles, the project has begun to lay the groundwork for the regulatory transformation required to scale the use of wood in Türkiye’s construction sector. Given the limited progress achieved since the project start, this outcome is rated as moderately unsatisfactory, considering that the project still has sufficient time to make up for the lost implementation period if initiating the procurement in the next reporting period.</w:t>
            </w:r>
          </w:p>
          <w:p>
            <w:pPr/>
            <w:r>
              <w:rPr/>
              <w:t xml:space="preserve"/>
            </w:r>
          </w:p>
          <w:p>
            <w:pPr/>
            <w:r>
              <w:rPr/>
              <w:t xml:space="preserve">Outcome 2 – Stronger Institutional Support</w:t>
            </w:r>
          </w:p>
          <w:p>
            <w:pPr/>
            <w:r>
              <w:rPr/>
              <w:t xml:space="preserve">Outcome 2 target has been achieved ahead of schedule with the formal establishment of the “Wood Promotion for Sustainable Wood Construction Unit” within GDF, confirmed during the November 2024 Project Steering Committee meeting. This new institutional mechanism provides a dedicated focal point within the implementing partner to coordinate technical promotion, stakeholder engagement, and policy advocacy for wooden construction, ensuring sustainability of efforts beyond the life of the project. This outcome is rated as highly satisfactory. The project shall also confirm financial sustainability of the operations of that unit prior to the end of the project (recommendation 2.)</w:t>
            </w:r>
          </w:p>
          <w:p>
            <w:pPr/>
            <w:r>
              <w:rPr/>
              <w:t xml:space="preserve"/>
            </w:r>
          </w:p>
          <w:p>
            <w:pPr/>
            <w:r>
              <w:rPr/>
              <w:t xml:space="preserve">Outcome 3 – Financial Support Mechanism and Pilot Projects</w:t>
            </w:r>
          </w:p>
          <w:p>
            <w:pPr/>
            <w:r>
              <w:rPr/>
              <w:t xml:space="preserve">Under the Financial Support Mechanism (FSM), implementation has advanced in this reporting period through the first phase, which encompasses six pilot construction projects managed by GDF. Several of these projects have already entered the construction and commissioning stages, as confirmed by the co-financing records provided by GDF. The GEF grant allocation for FSM has begun to be utilized, with initial expenditures covering on-site engineering services for the pilots. While the financial value of these services remained modest at this stage, it nonetheless signals the operational start of the FSM in this reporting period.</w:t>
            </w:r>
          </w:p>
          <w:p>
            <w:pPr/>
            <w:r>
              <w:rPr/>
              <w:t xml:space="preserve">Engagement with the private sector—particularly wooden construction material manufacturers—has, however, not yet commenced in this reporting period as per the original project plan. GDF has indicated a preference to prioritize mobilizing and directing funds to public institutions before extending FSM access to private sector actors. This sequencing reflects GDF’s cautious approach to ensuring proof-of-concept and institutional capacity within the public sector before expanding the mechanism’s scope to industry stakeholders. The 36,987 square meters of completed buildings in this period, combined with the innovative application of Glued Laminated Timber (GLT) systems, represent a significant contribution toward the final target of 0.58 million square meters of wooden buildings by 2028. The project’s technical role has been pivotal in ensuring that GDF’s construction program integrates sustainable design principles, high-quality materials, and compliance with relevant building standards. The academicians that the project mobilized to revise the earthquake building code also took part in GDF-funded constructions by providing on-site engineering services. This outcome is rated as moderately satisfactory.</w:t>
            </w:r>
          </w:p>
          <w:p>
            <w:pPr/>
            <w:r>
              <w:rPr/>
              <w:t xml:space="preserve"/>
            </w:r>
          </w:p>
          <w:p>
            <w:pPr/>
            <w:r>
              <w:rPr/>
              <w:t xml:space="preserve">Outcome 4 – Awareness Raising</w:t>
            </w:r>
          </w:p>
          <w:p>
            <w:pPr/>
            <w:r>
              <w:rPr/>
              <w:t xml:space="preserve">This outcome is rated as satisfactory. Awareness-raising activities were delivered as planned in this period, with three high-profile capacity-building events targeting public institutions, engineers, and suppliers. These events, attended by over 240 participants in total, have focused on both the technical and policy dimensions of wooden construction, including recent developments in building codes and certification requirements. The project has also expanded its municipal engagement, with eight municipalities expressing interest in wooden buildings and three signalling readiness to participate in co-financed construction once the initial phase is complete.</w:t>
            </w:r>
          </w:p>
          <w:p>
            <w:pPr/>
            <w:r>
              <w:rPr/>
              <w:t xml:space="preserve"/>
            </w:r>
          </w:p>
          <w:p>
            <w:pPr/>
            <w:r>
              <w:rPr/>
              <w:t xml:space="preserve">Outcome 5 – Training and Capacity Building</w:t>
            </w:r>
          </w:p>
          <w:p>
            <w:pPr/>
            <w:r>
              <w:rPr/>
              <w:t xml:space="preserve">Training and capacity-building activities were a strong area of performance in this reporting period. Seven events engaged a diverse set of stakeholders, including public officials, graduate and postgraduate students in engineering and architecture, and private sector suppliers. Importantly, assistant professors and doctoral researchers were included to encourage the integration of wooden construction topics into university curricula, an investment in the long-term sustainability of the knowledge base. Field visits to GDF’s construction sites in earthquake-affected provinces provided participants with valuable hands-on exposure to techniques, materials, and design considerations, bridging the gap between theory and practice. This outcome is rated as satisfactory.</w:t>
            </w:r>
          </w:p>
          <w:p>
            <w:pPr/>
            <w:r>
              <w:rPr/>
              <w:t xml:space="preserve"/>
            </w:r>
          </w:p>
          <w:p>
            <w:pPr/>
            <w:r>
              <w:rPr/>
              <w:t xml:space="preserve">IMPLEMENTATION PERFORMANCE</w:t>
            </w:r>
          </w:p>
          <w:p>
            <w:pPr/>
            <w:r>
              <w:rPr/>
              <w:t xml:space="preserve"/>
            </w:r>
          </w:p>
          <w:p>
            <w:pPr/>
            <w:r>
              <w:rPr/>
              <w:t xml:space="preserve">For this period, the implementation performance is rated as moderately satisfactory and has slightly improved since the last reporting period (i.e., when it was moderately unsatisfactory). Despite the continuing delays in implementation of policy and regulatory work under outcome 1 as originally planned and the slight delay with initiation of the second phase of the financial mechanism—focused on the private sector under outcome 3—the project team has in this reporting period initiated solid steps towards exploring all possible adaptive management measures.</w:t>
            </w:r>
          </w:p>
          <w:p>
            <w:pPr/>
            <w:r>
              <w:rPr/>
              <w:t xml:space="preserve"/>
            </w:r>
          </w:p>
          <w:p>
            <w:pPr/>
            <w:r>
              <w:rPr/>
              <w:t xml:space="preserve">In response to the continuing procurement challenges, the project team assessed all options to put in place a support mechanism to help them contract international experts and overcome contractual issues. Following consultations at the national level, the GEF Operational Focal Point and the implementing partner requested expanded execution service support from UNDP to support procurement activities under all project outputs. UNDP accepted to support this request. As per GEF policy, such a request also required an approval by GEF. Unfortunately, the request was rejected by the donor on 30 June 2025 (for further details on reasoning, please see the minor amendments and challenges and their management sections). In practice, this means that the implementing partner, together with UNDP, needs to find an alternative solution in the next reporting period to ensure procurement barriers are overcome.</w:t>
            </w:r>
          </w:p>
          <w:p>
            <w:pPr/>
            <w:r>
              <w:rPr/>
              <w:t xml:space="preserve"/>
            </w:r>
          </w:p>
          <w:p>
            <w:pPr/>
            <w:r>
              <w:rPr/>
              <w:t xml:space="preserve">In view of this process, many activities were put on hold for the whole reporting period with the hope of enabling expedited procurement processes with UNDP support. This resulted in cumulative financial delivery reaching only around 7.5% (284,614 out of 3.805 million USD), with around 11% delivery against the annual workplan. Despite the operational challenges the project dealt with, it continued to position itself as the technical advisory apparatus in the sector, ensuring that technical assistance was provided for the ongoing construction work through the engaged staff and consultants.</w:t>
            </w:r>
          </w:p>
          <w:p>
            <w:pPr/>
            <w:r>
              <w:rPr/>
              <w:t xml:space="preserve"/>
            </w:r>
          </w:p>
          <w:p>
            <w:pPr/>
            <w:r>
              <w:rPr/>
              <w:t xml:space="preserve">Further, as the main co-financer, GDF completed the construction, commissioning, and registration of a total of 36,987 square meters of wooden buildings. This included 142 apartment units covering 31,945 m² and 11 office buildings totalling 5,042 m², with a total co-financing amount of approximately 35 million USD. In that context, co-finance materialization is considered on track for this period. This is said noting that most co-finance materialization is yet to be disbursed once the financial mechanism is fully launched for the private sector.</w:t>
            </w:r>
          </w:p>
          <w:p>
            <w:pPr/>
            <w:r>
              <w:rPr/>
              <w:t xml:space="preserve"/>
            </w:r>
          </w:p>
          <w:p>
            <w:pPr/>
            <w:r>
              <w:rPr/>
              <w:t xml:space="preserve">The project management unit has operated efficiently and engaged with UNDP oversight teams in a timely manner to raise issues and analyze options. The project board met once during this reporting period, and no obstacles were reported or observed with respect to the project governance setup. The mission was conducted by the regional technical advisor and regional program associate in May 2025 to assess the progress in view of the reported challenges. The mission reconfirmed stringent procurement procedures preventing the project from advancing at a faster pace, as well as a general recognition of the high relevance of this project by the government stakeholders, especially in view of the recent earthquake and the GDF focus on ensuring building quality and safety.</w:t>
            </w:r>
          </w:p>
          <w:p>
            <w:pPr/>
            <w:r>
              <w:rPr/>
              <w:t xml:space="preserve"/>
            </w:r>
          </w:p>
          <w:p>
            <w:pPr/>
            <w:r>
              <w:rPr/>
              <w:t xml:space="preserve">Evidence has been provided for work under different activities. This included a list of attendees and photos from the trainings, a wooden building tracking tool, and back-to-offices reports of the project team from the building site visits. More detailed evidence is requested for the next PIR to enable better assessment of the progress on the work around the financial mechanism.</w:t>
            </w:r>
          </w:p>
          <w:p>
            <w:pPr/>
            <w:r>
              <w:rPr/>
              <w:t xml:space="preserve">No complaints were raised during this reporting period through the grievance redress mechanism. Gender action is in place and implemented proportionally to the project progress. Gender considerations should be deepened through targeted technical training for women engineers and architects, aiming to raise female participation rates above the current 21 percent (recommendation 3).</w:t>
            </w:r>
          </w:p>
          <w:p>
            <w:pPr/>
            <w:r>
              <w:rPr/>
              <w:t xml:space="preserve"/>
            </w:r>
          </w:p>
          <w:p>
            <w:pPr/>
            <w:r>
              <w:rPr/>
              <w:t xml:space="preserve">LESSONS LEARNED</w:t>
            </w:r>
          </w:p>
          <w:p>
            <w:pPr/>
            <w:r>
              <w:rPr/>
              <w:t xml:space="preserve"/>
            </w:r>
          </w:p>
          <w:p>
            <w:pPr/>
            <w:r>
              <w:rPr/>
              <w:t xml:space="preserve">Experience over the past year has underscored the importance of strong national co-financing as a driver for maintaining momentum when other components face delays. GDF’s investments in large-scale wooden building projects have allowed the project to start technical support and demonstrate tangible results to stakeholders early in the implementation cycle, sustaining interest and political support. This illustrates the value of embedding co-financed demonstration works in project design, not only as outputs in their own right but also as leverage points for regulatory and market transformation.</w:t>
            </w:r>
          </w:p>
          <w:p>
            <w:pPr/>
            <w:r>
              <w:rPr/>
              <w:t xml:space="preserve"/>
            </w:r>
          </w:p>
          <w:p>
            <w:pPr/>
            <w:r>
              <w:rPr/>
              <w:t xml:space="preserve">The project has also confirmed that practical, site-based learning opportunities have a disproportionately high impact on capacity development compared to classroom-based training alone. Visits to ongoing GDF wooden building projects in earthquake-affected provinces allowed participants to observe construction processes, material performance, and on-site problem solving, leading to stronger uptake of technical concepts.</w:t>
            </w:r>
          </w:p>
          <w:p>
            <w:pPr/>
            <w:r>
              <w:rPr/>
              <w:t xml:space="preserve"/>
            </w:r>
          </w:p>
          <w:p>
            <w:pPr/>
            <w:r>
              <w:rPr/>
              <w:t xml:space="preserve">Another important lesson is that legislative change in Türkiye’s building sector, particularly regarding seismic safety standards, requires early and sustained engagement with all competent authorities, coupled with realistic timelines that account for the complexity of inter-agency coordination. While the project succeeded in securing AFAD’s consideration of code revisions, the experience has shown that without the ability to mobilize long-term international expertise, such processes risk stalling. This reinforces the need for flexible contracting arrangements in similar future projects.</w:t>
            </w:r>
          </w:p>
          <w:p>
            <w:pPr/>
            <w:r>
              <w:rPr/>
              <w:t xml:space="preserve"/>
            </w:r>
          </w:p>
          <w:p>
            <w:pPr/>
            <w:r>
              <w:rPr/>
              <w:t xml:space="preserve">Finally, growing interest from municipalities during this reporting period suggests that subnational governments could play a pivotal role in scaling wooden construction. Proactive engagement at the local level, combined with tailored technical support and access to financing, could accelerate replication beyond the scope of centrally managed projects.</w:t>
            </w:r>
          </w:p>
          <w:p>
            <w:pPr/>
            <w:r>
              <w:rPr/>
              <w:t xml:space="preserve"/>
            </w:r>
          </w:p>
          <w:p>
            <w:pPr/>
            <w:r>
              <w:rPr/>
              <w:t xml:space="preserve">----</w:t>
            </w:r>
          </w:p>
          <w:p>
            <w:pPr/>
            <w:r>
              <w:rPr/>
              <w:t xml:space="preserve">CHALLENGES AND THEIR MANAGEMENT</w:t>
            </w:r>
          </w:p>
          <w:p>
            <w:pPr/>
            <w:r>
              <w:rPr/>
              <w:t xml:space="preserve"/>
            </w:r>
          </w:p>
          <w:p>
            <w:pPr/>
            <w:r>
              <w:rPr/>
              <w:t xml:space="preserve">The reporting period was again marked by operational and administrative barriers that have hindered the timely execution of several core activities, particularly under the legislative and regulatory outcome. The most significant challenge remained rooted in the structural limitations of the National Implementation Modality as applied to this project. In response to ongoing bottlenecks and following a request from the GEF Operational Focal Point and the Implementing Partner, UNDP submitted a formal proposal to the GEF Secretariat in early 2025 to expand UNDP’s execution support services across all project outputs. The proposed arrangement would have maintained the existing implementation modality but allowed UNDP to directly deliver a wider scope of financial, procurement, human resources, and operational services on behalf of the GDF, without charging any of these additional support costs to the GEF grant.</w:t>
            </w:r>
          </w:p>
          <w:p>
            <w:pPr/>
            <w:r>
              <w:rPr/>
              <w:t xml:space="preserve"/>
            </w:r>
          </w:p>
          <w:p>
            <w:pPr/>
            <w:r>
              <w:rPr/>
              <w:t xml:space="preserve">The rationale for this request was grounded in capacity assessments from August 2024 and practical experience of bottlenecks on the ground. These assessments confirmed that while GDF possessed strong technical and regulatory capacity in its core mandate of forestry management and enforcement, it lacked the specialized administrative systems, workforce availability, and procedural tools required to execute complex, multi-year, internationally funded projects. Specific weaknesses were noted in mobilizing international experts, conducting multi-year tenders, and managing independent project teams, all of which have proven to be recurring obstacles for this project. The challenges that continued to be experienced and relevant in this reporting period are explained below:</w:t>
            </w:r>
          </w:p>
          <w:p>
            <w:pPr/>
            <w:r>
              <w:rPr/>
              <w:t xml:space="preserve"/>
            </w:r>
          </w:p>
          <w:p>
            <w:pPr/>
            <w:r>
              <w:rPr/>
              <w:t xml:space="preserve">Firstly, the requirement for GDF to have 100 percent of planned contract funds in its accounts prior to contract signing, combined with quarterly advance payment rules under HACT, has created a mismatch between national and UNDP financial procedures. This has resulted in delays in contract issuance, particularly for higher-value or multi-year engagements. In addition, public procurement legislation prevents GDF from tendering in foreign currency or contracting international consultants, severely limiting access to global expertise—most critically, the long-term Chief Technical Advisor (CTA) foreseen in the project design has still not been recruited. Attempts to mitigate this gap through short-term national consultancies have proven suboptimal, disrupting continuity, institutional memory, and strategic oversight.</w:t>
            </w:r>
          </w:p>
          <w:p>
            <w:pPr/>
            <w:r>
              <w:rPr/>
              <w:t xml:space="preserve"/>
            </w:r>
          </w:p>
          <w:p>
            <w:pPr/>
            <w:r>
              <w:rPr/>
              <w:t xml:space="preserve">Secondly, high inflation and depreciation of the Turkish lira have introduced significant cost volatility. The mandatory use of local currency in procurement has encouraged bidders to submit inflated price proposals as a hedge against further depreciation or, alternatively, to seek contract revisions mid-implementation, both of which can delay delivery. The 20 percent tax burden on all goods and services procured by GDF, in the absence of any exemption, has further undermined the purchasing power of the project budget, eroding the cost assumptions made at the design stage.</w:t>
            </w:r>
          </w:p>
          <w:p>
            <w:pPr/>
            <w:r>
              <w:rPr/>
              <w:t xml:space="preserve"/>
            </w:r>
          </w:p>
          <w:p>
            <w:pPr/>
            <w:r>
              <w:rPr/>
              <w:t xml:space="preserve">Thirdly, public procurement rules restricting tenders to a maximum implementation period of one year (with very limited exceptions) have had a direct impact on the project’s ability to engage essential technical expertise for the entire duration of the project. The CTA case illustrates the operational inefficiency this creates: the only viable alternative under current rules would be to tender the same position repeatedly, fragmenting service provision and likely deterring qualified candidates.</w:t>
            </w:r>
          </w:p>
          <w:p>
            <w:pPr/>
            <w:r>
              <w:rPr/>
              <w:t xml:space="preserve"/>
            </w:r>
          </w:p>
          <w:p>
            <w:pPr/>
            <w:r>
              <w:rPr/>
              <w:t xml:space="preserve">The option analysis accompanying UNDP’s request for expanded execution services outlined the types of support required to resolve these issues, including direct UNDP procurement of goods, works, and services; recruitment of consultants and project staff; financial management; event and travel logistics; equipment procurement and asset management; and audit facilitation. However, the request was rejected by the GEF Secretariat on 30 June 2025 in view of (i) the new GEF policy on dual implementation/execution roles and (ii) the low overall risk rating assigned to GDF under capacity assessment by the third party who prepared the report, which to some extent does not reflect the everyday operational challenges the project faces.</w:t>
            </w:r>
          </w:p>
          <w:p>
            <w:pPr/>
            <w:r>
              <w:rPr/>
              <w:t xml:space="preserve">With the UNDP support service option no longer being feasible, the project will need to identify alternative delivery mechanisms within the constraints of the current modality. (As the decision from the GEF end came at the end of this reporting period, it is not known yet which of the above options will be pursued in the next 12 months and shall be discussed in the second half of 2025.)</w:t>
            </w:r>
          </w:p>
          <w:p>
            <w:pPr/>
            <w:r>
              <w:rPr/>
              <w:t xml:space="preserve">Recommendations:</w:t>
            </w:r>
          </w:p>
          <w:p>
            <w:pPr/>
            <w:r>
              <w:rPr/>
              <w:t xml:space="preserve">I.                    In the coming period, the project should accelerate Outcome 1 by contracting multiple small legislative work packages in parallel, maintaining the revision of the Earthquake Building Regulation as the highest priority.</w:t>
            </w:r>
          </w:p>
          <w:p>
            <w:pPr/>
            <w:r>
              <w:rPr/>
              <w:t xml:space="preserve">II.                  It should continue to explore the engagement of additional responsible parties to deliver specialist inputs outside the constraints of GDF’s procurement framework.</w:t>
            </w:r>
          </w:p>
          <w:p>
            <w:pPr/>
            <w:r>
              <w:rPr/>
              <w:t xml:space="preserve"/>
            </w:r>
          </w:p>
          <w:p>
            <w:pPr/>
            <w:r>
              <w:rPr/>
              <w:t xml:space="preserve">----</w:t>
            </w:r>
          </w:p>
          <w:p>
            <w:pPr/>
            <w:r>
              <w:rPr/>
              <w:t xml:space="preserve"/>
            </w:r>
          </w:p>
        </w:tc>
      </w:tr>
      <w:tr>
        <w:trPr/>
        <w:tc>
          <w:tcPr>
            <w:tcW w:w="5000" w:type="dxa"/>
            <w:gridSpan w:val="1"/>
            <w:noWrap/>
          </w:tcPr>
          <w:p>
            <w:pPr/>
            <w:r>
              <w:rPr>
                <w:b w:val="1"/>
                <w:bCs w:val="1"/>
              </w:rPr>
              <w:t xml:space="preserve">UNDP Country Office Programme Officer</w:t>
            </w:r>
          </w:p>
        </w:tc>
        <w:tc>
          <w:tcPr>
            <w:tcW w:w="10000" w:type="dxa"/>
            <w:gridSpan w:val="1"/>
            <w:noWrap/>
          </w:tcPr>
          <w:p>
            <w:pPr/>
            <w:r>
              <w:rPr/>
              <w:t xml:space="preserve">During the current Project Implementation Report (PIR) period, the project sustained commendable momentum, particularly in capacity-building, awareness-raising, and technical training across the wooden construction sector. While procurement-related challenges persisted (mentioned in more details in procurement related section), the implementing partner demonstrated a proactive and adaptive approach, notably by initiating legislative activities and coordinating impactful field visits. These visits, led by the General Directorate of Forestry (GDF), provided beneficiaries with valuable, hands-on exposure to some of the country’s most significant wooden construction projects—substantially enhancing learning outcomes and strengthening stakeholder engagement.</w:t>
            </w:r>
          </w:p>
          <w:p>
            <w:pPr/>
            <w:r>
              <w:rPr/>
              <w:t xml:space="preserve"/>
            </w:r>
          </w:p>
          <w:p>
            <w:pPr/>
            <w:r>
              <w:rPr/>
              <w:t xml:space="preserve">From an oversight standpoint, Component 1 registered encouraging progress despite previous limitations in expert mobilization. During this reporting cycle, national experts were engaged through partial agreements, facilitating the initiation of legislative work. A key development was the formal submission of a request to AFAD to consider revisions to the Earthquake Building Regulation—an important step that the UNDP Country Office views as a strategic contribution to integrating wooden construction into national policy discussions. A national training and panel event further advanced institutional understanding and underscored the relevance of regulatory evolution.</w:t>
            </w:r>
          </w:p>
          <w:p>
            <w:pPr/>
            <w:r>
              <w:rPr/>
              <w:t xml:space="preserve"/>
            </w:r>
          </w:p>
          <w:p>
            <w:pPr/>
            <w:r>
              <w:rPr/>
              <w:t xml:space="preserve">Although procurement bottlenecks influenced the overall pace of implementation, the project successfully laid critical foundations for sustained progress. Under Component 2, GDF—serving as the primary co-financer—delivered 36,987 m² of wooden construction, including 142 residential units and 11 office buildings. This represents a tangible advancement of Türkiye’s sustainable and resilient wooden construction agenda and reflects effective knowledge transfer from previous UNDP-supported efforts.</w:t>
            </w:r>
          </w:p>
          <w:p>
            <w:pPr/>
            <w:r>
              <w:rPr/>
              <w:t xml:space="preserve"/>
            </w:r>
          </w:p>
          <w:p>
            <w:pPr/>
            <w:r>
              <w:rPr/>
              <w:t xml:space="preserve">In Component 3, the project engaged over 440 officially recorded participants through seven specialized capacity-building and awareness events. These included a public sector training session, a panel discussion on wooden building legislation for civil engineers, and a certification workshop for material suppliers. The involvement of 29 universities, 56 private sector entities, and 8 municipalities illustrates the project's inclusive and ecosystem-oriented approach—closely aligned with UNDP’s priorities on green transition, low-carbon infrastructure, and the promotion of green skills and employment.</w:t>
            </w:r>
          </w:p>
          <w:p>
            <w:pPr/>
            <w:r>
              <w:rPr/>
              <w:t xml:space="preserve"/>
            </w:r>
          </w:p>
          <w:p>
            <w:pPr/>
            <w:r>
              <w:rPr/>
              <w:t xml:space="preserve">While some legislative outputs experienced delays due to procurement issues, the overall performance during this reporting period has been robust—especially in stakeholder engagement, institutional capacity development, and the advancement of sustainable construction practices. GDF’s strong ownership and co-financing have been instrumental in maintaining this momentum. Based on current achievements and continued alignment with UNDP’s strategic programming framework, the project is assessed as satisfactory to moderately satisfactory for this period.</w:t>
            </w:r>
          </w:p>
        </w:tc>
      </w:tr>
      <w:tr>
        <w:trPr/>
        <w:tc>
          <w:tcPr>
            <w:tcW w:w="5000" w:type="dxa"/>
            <w:gridSpan w:val="1"/>
            <w:noWrap/>
          </w:tcPr>
          <w:p>
            <w:pPr/>
            <w:r>
              <w:rPr>
                <w:b w:val="1"/>
                <w:bCs w:val="1"/>
              </w:rPr>
              <w:t xml:space="preserve">Project Manager/Coordinator</w:t>
            </w:r>
          </w:p>
        </w:tc>
        <w:tc>
          <w:tcPr>
            <w:tcW w:w="10000" w:type="dxa"/>
            <w:gridSpan w:val="1"/>
            <w:noWrap/>
          </w:tcPr>
          <w:p>
            <w:pPr/>
            <w:r>
              <w:rPr/>
              <w:t xml:space="preserve">During this PIR period, the project sustained its focus on capacity-building, training, and awareness-raising activities targeting a diverse group of stakeholders, including graduate and postgraduate students in civil engineering, architecture, and forest industry fields. Despite procurement-related challenges, the project successfully initiated legislative activities, further extending its impact. Public institutions involved in building legislation and construction, along with private sector actors such as engineering firms, contractors, and material suppliers. A key priority was addressing the significant lack of technical knowledge in wooden construction. To reinforce learning, the project team conducted multiple field visits to construction sites managed by the General Directorate of Forestry (GDF), offering participants valuable hands-on experience and the opportunity to observe the application of theory in practice. These visits showcased some of the largest wooden construction projects ever undertaken in Türkiye. In parallel with its training and outreach efforts, GDF—acting as the project’s main co-financer—continued to make substantial progress in its construction activities.</w:t>
            </w:r>
          </w:p>
          <w:p>
            <w:pPr/>
            <w:r>
              <w:rPr/>
              <w:t xml:space="preserve"/>
            </w:r>
          </w:p>
          <w:p>
            <w:pPr/>
            <w:r>
              <w:rPr/>
              <w:t xml:space="preserve">Component 1</w:t>
            </w:r>
          </w:p>
          <w:p>
            <w:pPr/>
            <w:r>
              <w:rPr/>
              <w:t xml:space="preserve">During this PIR period, the General Directorate of Forestry (GDF) encountered substantial procurement challenges, affecting the full involvement of experts in legislative activities. The delayed outputs are mainly related to Outcome 1 (Enhanced Legislation and Regulation), including Output 1.1 (Report on EU and other country legislation) and Output 1.2 (Joint policy and working documents elaborated). As agreed with the Implementing Partner (IP), most activities under Outcome 1 were postponed by at least one year (please refer to the minutes of the Project Board Meeting). Nevertheless, in the current period, progress has been achieved through partial agreements with national consultants, predominantly academicians, to support/revise the legislations. A primary objective of these endeavors is the revision of Türkiye’s Earthquake Regulation for Buildings, led by AFAD (Disaster and Emergency Management Authority), the designated authority for this legislation. Without updates to the current regulation, limitations such as building height restrictions remain in place, particularly for wooden structures. Recognizing this, the project prioritized supporting the legal revisions and formally submitted a request to AFAD for revising the code. A national awareness-raising and trainig event together with a panel was held to introduce new Wooden Construction Legislation. Strengthening institutional capacity remains a critical step to ensure meaningful engagement in future strategy development. To this end, selected academicians are now being funded to contribute to AFAD’s regulatory review process. Although procurement delays continue to pose challenges—preventing the finalization of formal contracts—preliminary work has started, and an initial draft document for revising the earthquake code has been prepared.</w:t>
            </w:r>
          </w:p>
          <w:p>
            <w:pPr/>
            <w:r>
              <w:rPr/>
              <w:t xml:space="preserve"/>
            </w:r>
          </w:p>
          <w:p>
            <w:pPr/>
            <w:r>
              <w:rPr/>
              <w:t xml:space="preserve">Component 2</w:t>
            </w:r>
          </w:p>
          <w:p>
            <w:pPr/>
            <w:r>
              <w:rPr/>
              <w:t xml:space="preserve">During this PIR period, the General Directorate of Forestry (GDF), acting as the project’s main co-financer, completed the construction, commissioning, and registration of a total of 36,987 square meters of wooden buildings. This included 142 apartment units for personnel, covering 31,945 m², and 11 office buildings totaling 5,042 m². These achievements represent a major milestone in Türkiye's transition toward sustainable and resilient building practices, particularly in regions affected by recent earthquakes.</w:t>
            </w:r>
          </w:p>
          <w:p>
            <w:pPr/>
            <w:r>
              <w:rPr/>
              <w:t xml:space="preserve">A key innovation in these structures was the use of Glued Laminated Timber (GLT) for the column-beam systems—marking the most extensive application of GLT in a multi-story structure in Türkiye to date. Enabled by prior outputs from a UNDP-GDF project, this initiative also supported the production and acceptance of local wooden materials, now recognized under Eurocode standards. This breakthrough has critical implications for post-disaster construction efforts. The project also provided consultancy support for GDF’s ongoing wooden construction projects.</w:t>
            </w:r>
          </w:p>
          <w:p>
            <w:pPr/>
            <w:r>
              <w:rPr/>
              <w:t xml:space="preserve"/>
            </w:r>
          </w:p>
          <w:p>
            <w:pPr/>
            <w:r>
              <w:rPr/>
              <w:t xml:space="preserve">Component 3</w:t>
            </w:r>
          </w:p>
          <w:p>
            <w:pPr/>
            <w:r>
              <w:rPr/>
              <w:t xml:space="preserve">The project conducted a wide range of capacity-building, training, and awareness activities during this PIR period, reaching a diverse group of stakeholders such as public institutions, academics, students, suppliers, and private sector representatives. Seven events were held to address gaps in wooden construction, legislation, certification, and sustainability, including three flagship gatherings: a two-day awareness training for public institutions (80 participants), a legislative panel for civil engineers (109 participants), and a training for construction material suppliers (51 participants). Additional postgraduate trainings, technical sessions, and on-site workshops were delivered at GDF’s wooden construction sites in earthquake-affected areas, aiming to integrate wooden building topics into university curricula through active involvement of assistant professors and graduate researchers. Overall, 444 participants were officially recorded, though actual outreach may be higher. The project also collaborated with eight municipalities, showed interest in future co-financed projects. Participants included representatives from 29 universities, multiple governmental authorities, and 56 private companies. This comprehensive, inclusive approach significantly enhanced the ecosystem around wooden construction, paving the way for greener building practices and supporting the development of green skills and jobs across Türkiye’s construction sector.</w:t>
            </w:r>
          </w:p>
          <w:p>
            <w:pPr/>
            <w:r>
              <w:rPr/>
              <w:t xml:space="preserve"/>
            </w:r>
          </w:p>
          <w:p>
            <w:pPr/>
            <w:r>
              <w:rPr/>
              <w:t xml:space="preserve">Conclusion</w:t>
            </w:r>
          </w:p>
          <w:p>
            <w:pPr/>
            <w:r>
              <w:rPr/>
              <w:t xml:space="preserve">Although progress on the legislative component has been slow due to procurement-related challenges, the project has still achieved significant milestones. To help address these challenges, the project has also initiated the amendment process to overcome procurement-related obstacles. One of the most notable accomplishments is the formal submission of a request to revise the Earthquake Building Regulation to allow for wooden structures—a critical step forward for the sector. The General Directorate of Forestry’s strong commitment and co-financing support have played a vital role in sustaining momentum. GDF’s leadership has not only ensured continuity but also encouraged other public institutions to engage. The project successfully reached a wide range of stakeholders across the construction sector, with high participation levels that are expected to continue growing.</w:t>
            </w:r>
          </w:p>
          <w:p>
            <w:pPr/>
            <w:r>
              <w:rPr/>
              <w:t xml:space="preserve"/>
            </w:r>
          </w:p>
          <w:p>
            <w:pPr/>
            <w:r>
              <w:rPr/>
              <w:t xml:space="preserve">There is still considerable work ahead to achieve the goal of a low-carbon, sustainable, and value-added construction sector that contributes to national development and supports the creation of green skills and jobs. Türkiye continues to face major gaps in education, awareness, and capacity related to wooden construction, making training and awareness-raising the most critical first steps. These areas will remain a top priority in the upcoming period. Having overcome the initial inertia experienced during its first year, the project has now made steady progress. While delivery figures may appear modest, the depth and quality of engagement with stakeholders and beneficiaries reflect strong overall performance, and many midterm targets have already been reached especially for Component 2 and 3. For these reasons, the project is considered to have delivered a satisfactory outcome for this reporting period by the PMU.</w:t>
            </w:r>
          </w:p>
          <w:p>
            <w:pPr/>
            <w:r>
              <w:rPr/>
              <w:t xml:space="preserve"/>
            </w:r>
          </w:p>
          <w:p>
            <w:pPr/>
            <w:r>
              <w:rPr/>
              <w:t xml:space="preserve"/>
            </w:r>
          </w:p>
        </w:tc>
      </w:tr>
      <w:tr>
        <w:trPr/>
        <w:tc>
          <w:tcPr>
            <w:tcW w:w="5000" w:type="dxa"/>
            <w:gridSpan w:val="1"/>
            <w:noWrap/>
          </w:tcPr>
          <w:p>
            <w:pPr/>
            <w:r>
              <w:rPr>
                <w:b w:val="1"/>
                <w:bCs w:val="1"/>
              </w:rPr>
              <w:t xml:space="preserve">GEF Operational Focal point</w:t>
            </w:r>
          </w:p>
        </w:tc>
        <w:tc>
          <w:tcPr>
            <w:tcW w:w="10000" w:type="dxa"/>
            <w:gridSpan w:val="1"/>
            <w:noWrap/>
          </w:tcPr>
          <w:p>
            <w:pPr/>
            <w:r>
              <w:rPr>
                <w:i w:val="1"/>
                <w:iCs w:val="1"/>
              </w:rPr>
              <w:t xml:space="preserve">(not set or not applicable)</w:t>
            </w:r>
          </w:p>
        </w:tc>
      </w:tr>
      <w:tr>
        <w:trPr/>
        <w:tc>
          <w:tcPr>
            <w:tcW w:w="5000" w:type="dxa"/>
            <w:gridSpan w:val="1"/>
            <w:noWrap/>
          </w:tcPr>
          <w:p>
            <w:pPr/>
            <w:r>
              <w:rPr>
                <w:b w:val="1"/>
                <w:bCs w:val="1"/>
              </w:rPr>
              <w:t xml:space="preserve">Project Implementing Partner</w:t>
            </w:r>
          </w:p>
        </w:tc>
        <w:tc>
          <w:tcPr>
            <w:tcW w:w="10000" w:type="dxa"/>
            <w:gridSpan w:val="1"/>
            <w:noWrap/>
          </w:tcPr>
          <w:p>
            <w:pPr/>
            <w:r>
              <w:rPr>
                <w:i w:val="1"/>
                <w:iCs w:val="1"/>
              </w:rPr>
              <w:t xml:space="preserve">(not set or not applicable)</w:t>
            </w:r>
          </w:p>
        </w:tc>
      </w:tr>
      <w:tr>
        <w:trPr/>
        <w:tc>
          <w:tcPr>
            <w:tcW w:w="5000" w:type="dxa"/>
            <w:gridSpan w:val="1"/>
            <w:noWrap/>
          </w:tcPr>
          <w:p>
            <w:pPr/>
            <w:r>
              <w:rPr>
                <w:b w:val="1"/>
                <w:bCs w:val="1"/>
              </w:rPr>
              <w:t xml:space="preserve">Other Partners</w:t>
            </w:r>
          </w:p>
        </w:tc>
        <w:tc>
          <w:tcPr>
            <w:tcW w:w="10000" w:type="dxa"/>
            <w:gridSpan w:val="1"/>
            <w:noWrap/>
          </w:tcPr>
          <w:p>
            <w:pPr/>
            <w:r>
              <w:rPr>
                <w:i w:val="1"/>
                <w:iCs w:val="1"/>
              </w:rPr>
              <w:t xml:space="preserve">(not set or not applicable)</w:t>
            </w:r>
          </w:p>
        </w:tc>
      </w:tr>
    </w:tbl>
    <w:p>
      <w:pPr>
        <w:sectPr>
          <w:pgSz w:orient="portrait" w:w="11905.511811023622" w:h="16837.79527559055"/>
          <w:pgMar w:top="500" w:right="500" w:bottom="500" w:left="500" w:header="720" w:footer="720" w:gutter="0"/>
          <w:cols w:num="1" w:space="720"/>
        </w:sectPr>
      </w:pPr>
    </w:p>
    <w:p>
      <w:pPr>
        <w:pStyle w:val="Heading1"/>
      </w:pPr>
      <w:bookmarkStart w:id="10" w:name="_Toc10"/>
      <w:r>
        <w:t>Minor Amendments</w:t>
      </w:r>
      <w:bookmarkEnd w:id="10"/>
    </w:p>
    <w:p>
      <w:pPr>
        <w:spacing w:before="0" w:after="0"/>
      </w:pPr>
      <w:r>
        <w:rPr/>
        <w:t xml:space="preserve"/>
      </w:r>
    </w:p>
    <w:p>
      <w:pPr/>
      <w:r>
        <w:rPr/>
        <w:t xml:space="preserve">Minor amendments are changes to the project design or implementation that do not have significant impact on the project objectives or scope, or an increase of the GEF project financing up to 5% as described in Annex 9 of the </w:t>
      </w:r>
      <w:hyperlink r:id="rId9" w:history="1">
        <w:r>
          <w:rPr/>
          <w:t xml:space="preserve">GEF Project and Program Cycle Policy Guidelines</w:t>
        </w:r>
      </w:hyperlink>
      <w:r>
        <w:rPr/>
        <w:t xml:space="preserve">.</w:t>
      </w:r>
    </w:p>
    <w:p>
      <w:pPr/>
      <w:r>
        <w:rPr>
          <w:b w:val="1"/>
          <w:bCs w:val="1"/>
        </w:rPr>
        <w:t xml:space="preserve">CO Programme Officer:</w:t>
      </w:r>
      <w:r>
        <w:rPr/>
        <w:t xml:space="preserve"> Please mark each category for which a minor amendment occurred during this reporting period (1 July 2024- 30 June 2025). </w:t>
      </w:r>
    </w:p>
    <w:p>
      <w:pPr/>
      <w:r>
        <w:rPr/>
        <w:t xml:space="preserve">For each category that is marked, please provide a brief description of the change that occurred in the associated text box. You may attach supporting documentation, as appropriate.</w:t>
      </w:r>
    </w:p>
    <w:p>
      <w:pPr/>
      <w:r>
        <w:rPr/>
        <w:t xml:space="preserve">The purpose of this section is to capture adaptive management and measure project proactiveness, an indicator outlined in paragraph 70 of the GEF-8 Policy Directions available </w:t>
      </w:r>
      <w:hyperlink r:id="rId10" w:history="1">
        <w:r>
          <w:rPr/>
          <w:t xml:space="preserve">here.</w:t>
        </w:r>
      </w:hyperlink>
    </w:p>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A) Results Framework</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the 'Results framework'</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B) Components and cost</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'Components and cost'</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C) Institutional and implementation arrangements</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'Institutional and implementation arrangements'</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D) Financial management</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'Financial Management'</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E) Implementation schedule</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'Implementation schedule'</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F) Executing Entity</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'Executing Entity'</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G) Executing Entity Category</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'Executing Entity Category'</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H) Minor project objective change</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'minor project objective change'</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I) Safeguards</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'Safeguards'</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J) Risk Analysis</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'Risk Analysis'</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K) Increase of GEF project financing up to 5%</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 to GEF project financing up to 5%</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L) Co-financing</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'Co-financing'</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M) Location of project activity</w:t>
            </w:r>
          </w:p>
        </w:tc>
      </w:tr>
      <w:tr>
        <w:trPr/>
        <w:tc>
          <w:tcPr>
            <w:tcW w:w="10000" w:type="dxa"/>
            <w:gridSpan w:val="1"/>
            <w:noWrap/>
          </w:tcPr>
          <w:p>
            <w:pPr/>
            <w:r>
              <w:rPr/>
              <w:t xml:space="preserve">No</w:t>
            </w:r>
          </w:p>
        </w:tc>
      </w:tr>
      <w:tr>
        <w:trPr/>
        <w:tc>
          <w:tcPr>
            <w:tcW w:w="10000" w:type="dxa"/>
            <w:shd w:val="clear" w:fill="#D9D9D9"/>
            <w:noWrap/>
          </w:tcPr>
          <w:p>
            <w:pPr/>
            <w:r>
              <w:rPr>
                <w:b w:val="1"/>
                <w:bCs w:val="1"/>
              </w:rPr>
              <w:t xml:space="preserve">Provide a description of the change(s) to project location activity</w:t>
            </w:r>
          </w:p>
        </w:tc>
      </w:tr>
      <w:tr>
        <w:trPr/>
        <w:tc>
          <w:tcPr>
            <w:tcW w:w="10000" w:type="dxa"/>
            <w:gridSpan w:val="1"/>
            <w:noWrap/>
          </w:tcPr>
          <w:p>
            <w:pPr/>
            <w:r>
              <w:rPr>
                <w:i w:val="1"/>
                <w:iCs w:val="1"/>
              </w:rPr>
              <w:t xml:space="preserve">(not set or not applicable)</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Please provide a description of other types of minor amendments that do not fall under any of the above categories. For example, minor changes to the project's Gender Action Plan and/or gender activities can be captured here.</w:t>
            </w:r>
          </w:p>
        </w:tc>
      </w:tr>
      <w:tr>
        <w:trPr/>
        <w:tc>
          <w:tcPr>
            <w:tcW w:w="10000" w:type="dxa"/>
            <w:gridSpan w:val="1"/>
            <w:noWrap/>
          </w:tcPr>
          <w:p>
            <w:pPr/>
            <w:r>
              <w:rPr/>
              <w:t xml:space="preserve">In this reporting period, based on request from GEF OFP and implementing partner, UNDP submitted a request for appproval of expanded execution services under this project due to the challenges encountered by the project since the start of the implementation. Extended support to the National Implementation Modality (support to NIM) by UNDP was proposed  - covering all the outputs of the project. (The implementation modality would remain unchanged – however, the scope of the support services to be provided to the Government of Türkiye was suggested to be expanded to overcome financial, operational and administrative challenges). UNDP was proposing and confirming that it would not charge the GEF resources for the cost of the support services.</w:t>
            </w:r>
          </w:p>
          <w:p>
            <w:pPr/>
            <w:r>
              <w:rPr/>
              <w:t xml:space="preserve"/>
            </w:r>
          </w:p>
          <w:p>
            <w:pPr/>
            <w:r>
              <w:rPr/>
              <w:t xml:space="preserve">A)	Context and reasons for the proposed change:</w:t>
            </w:r>
          </w:p>
          <w:p>
            <w:pPr/>
            <w:r>
              <w:rPr/>
              <w:t xml:space="preserve"/>
            </w:r>
          </w:p>
          <w:p>
            <w:pPr/>
            <w:r>
              <w:rPr/>
              <w:t xml:space="preserve">The following served as a ground for proposing this change:</w:t>
            </w:r>
          </w:p>
          <w:p>
            <w:pPr/>
            <w:r>
              <w:rPr/>
              <w:t xml:space="preserve">Conclusion of the assessment of the General Directorate of Forestry’s capacity for execution:</w:t>
            </w:r>
          </w:p>
          <w:p>
            <w:pPr/>
            <w:r>
              <w:rPr/>
              <w:t xml:space="preserve"/>
            </w:r>
          </w:p>
          <w:p>
            <w:pPr/>
            <w:r>
              <w:rPr/>
              <w:t xml:space="preserve">The GDF, which is the government body to execute the project in a role of Implementing Partner, was subject to the Harmonized Approach to Cash Transfers Framework (HACT micro-assessment) and Partner Capacity Assessment (PCAT) exercises in August 2024. The assessments have identified several issues related to the operational and personnel capacity of the GDF, specifically in terms of the implementation of internationally funded projects, with its current organizational structure and governance system. The micro-assessment study has concluded that:</w:t>
            </w:r>
          </w:p>
          <w:p>
            <w:pPr/>
            <w:r>
              <w:rPr/>
              <w:t xml:space="preserve"/>
            </w:r>
          </w:p>
          <w:p>
            <w:pPr/>
            <w:r>
              <w:rPr/>
              <w:t xml:space="preserve">“Based on the interviews that were performed with the IP, it was observed that the primary mandate of establishment of the Governmental body is to enforce regulations, and they have a strong capacity established within the Ministry for this purpose, including human resources, finance, procurement, etc. However, it was also specifically observed that IP does not have a system established in terms of adequate workforce, availability, and necessary procedural tools with regards to financial, operational, and administrative implementation of internationally funded projects. General Directorate of Forestry (“GDF”) Management is composed of technical staff who are unquestionably qualified for regulation enforcement, but this capacity is not used effectively for carrying out financial, administrative, and operational aspects of internationally funded projects that having multi-year contracts. It was also underlined during the interviews that there is a lack of adequate administrative procedures set for carrying out certain project activities such as mobilizing international experts, multi-year tenders and challenges in management of an independent project team mobilized for the project, all of which can be counted for the reasons of the disadvantages observed with regards to project execution, to exemplify tendering, contracting procedures to maintain an international chief technical advisor/consultant who will serve for the project throughout the entire project duration is not possible within the scope of execution of GEF and international funded projects by GDF.”</w:t>
            </w:r>
          </w:p>
          <w:p>
            <w:pPr/>
            <w:r>
              <w:rPr/>
              <w:t xml:space="preserve"/>
            </w:r>
          </w:p>
          <w:p>
            <w:pPr/>
            <w:r>
              <w:rPr/>
              <w:t xml:space="preserve">2.	Procurement-related challenges encountered directly by the project since its beginning:</w:t>
            </w:r>
          </w:p>
          <w:p>
            <w:pPr/>
            <w:r>
              <w:rPr/>
              <w:t xml:space="preserve"/>
            </w:r>
          </w:p>
          <w:p>
            <w:pPr/>
            <w:r>
              <w:rPr/>
              <w:t xml:space="preserve">Firstly, the IP requires to have 100% of planned contract funds in its accounts prior to signing any contracts with a vendor, supplier or consultant. The contracts’ duration often spans between a minimum of 6 months to 1 year or more, making it challenging to disburse the funds as required for the contract, given the rules and regulations of HACT framework under which funds are transferred to the IP by UNDP as quarterly advances. These advance payments must be cleared up by the end of each quarter by the IP. This is leading to an operational/accounting discrepancy between UNDP and the national system, causing a bottleneck in the contract issuance.</w:t>
            </w:r>
          </w:p>
          <w:p>
            <w:pPr/>
            <w:r>
              <w:rPr/>
              <w:t xml:space="preserve">Secondly, it was highlighted by the GDF authorities on multiple occasions that GDF cannot tender in foreign currency, or sign contracts with international consultants due to the legislative framework within the scope of Public Procurement Authority, by which IP is obligated to abide. Furthermore, GDF’s ability to reach a pool of national staff is very limited, therefore, it is also a challenge to hire international experts.</w:t>
            </w:r>
          </w:p>
          <w:p>
            <w:pPr/>
            <w:r>
              <w:rPr/>
              <w:t xml:space="preserve">Thirdly, since the country’s economic status is highly volatile and the inflation rate is on the increasing trend since the beginning of 2022, the local currency (Turkish Lira - TRY) continues to depreciate against the foreign currencies (USD/EUR). In addition, the public procurement rules for the contract/tender issuance in Turkish Lira limits the avoidance from the fluctuations in the exchange rate between Turkish Lira and the foreign currencies (USD/EUR). These lead to the set of risks for the project (i) the financial proposals from the bidders/candidates are likely at the inflated price levels because bidders/candidates cannot foresee the depreciation of TRY (considering the depreciation trends); (ii) bids not reflecting the rising costs and vendors in requesting the revision of contracts at a later stage, leading to possible delays in project implementation; (iii) the decrease of the appetite of the qualified experts for these contracts/assignments in Turkish Lira. Furthermore, GDF does not have a tax exemption for the goods and services. The tax burden of 20% on the procurement cases creates an additional cost for the project on top of the already coupled prices with high inflation, which undermine the overall budget assumptions at the project design stage.</w:t>
            </w:r>
          </w:p>
          <w:p>
            <w:pPr/>
            <w:r>
              <w:rPr/>
              <w:t xml:space="preserve">Fourthly, GDF currently cannot issue a tender with an implementation period longer than a year. Even under certain exceptions, this can only be extended to 3 years, which poses further operational and administrative challenges. To exemplify the implications caused by these multiple limitations outlined above, a case for hiring international experts such as Chief Technical Advisor (CTA) could be provided. CTA is expected to provide services throughout the project duration. CTA has not been on board as the GDF is unable to issue a multi-year contract in foreign currency (also without having all funds available to cover the duration of the whole contract).</w:t>
            </w:r>
          </w:p>
          <w:p>
            <w:pPr/>
            <w:r>
              <w:rPr/>
              <w:t xml:space="preserve"/>
            </w:r>
          </w:p>
          <w:p>
            <w:pPr/>
            <w:r>
              <w:rPr/>
              <w:t xml:space="preserve">The alternative solution - to issue shorter term contracts - was not deemed optimal to secure continuous provision of consultancy services for over one year and would require opening the same tender to procure the same services several times over the course of the project implementation. This would lead to operational inefficiency and disruption to the knowledge and relation management, potentially also discouraging suitable qualified candidates. As of April 2025, there is a national project coordinator in place from the GDF for this project, but no consultants due to GDF’s procurement restrictions for multi-year contract and depreciation of Turkish Lira, which has created a high risk for non-delivery within the original project timelines.</w:t>
            </w:r>
          </w:p>
          <w:p>
            <w:pPr/>
            <w:r>
              <w:rPr/>
              <w:t xml:space="preserve">Due to the high inflation rate in Türkiye and the requirement that all procurements be made in Turkish Lira (TRY), the only viable solution to mitigate exchange rate fluctuations has been to issue all contracts in US Dollars (USD). This approach would protect bidders from the volatility of the USD/TRY exchange rate. However, it remains not possible for the Implementing Partner (IP) to conduct procurement in USD due to public procurement regulations.</w:t>
            </w:r>
          </w:p>
          <w:p>
            <w:pPr/>
            <w:r>
              <w:rPr/>
              <w:t xml:space="preserve">This situation introduces risks for the project:</w:t>
            </w:r>
          </w:p>
          <w:p>
            <w:pPr/>
            <w:r>
              <w:rPr/>
              <w:t xml:space="preserve">1.	Since bidders cannot predict TRY fluctuations—especially given its depreciation trend—they are likely to submit inflated price proposals as a safeguard.</w:t>
            </w:r>
          </w:p>
          <w:p>
            <w:pPr/>
            <w:r>
              <w:rPr/>
              <w:t xml:space="preserve">2.	Alternatively, if bids do not account for increased costs, vendors may later request contract revisions, potentially causing delays in project implementation.</w:t>
            </w:r>
          </w:p>
          <w:p>
            <w:pPr/>
            <w:r>
              <w:rPr/>
              <w:t xml:space="preserve">Furthermore, the General Directorate of Forestry (GDF) does not benefit from tax exemptions when procuring goods and services. The 20% tax, combined with high inflation, could significantly increase project costs and undermine the financial assumptions made during the project design phase.</w:t>
            </w:r>
          </w:p>
          <w:p>
            <w:pPr/>
            <w:r>
              <w:rPr/>
              <w:t xml:space="preserve"/>
            </w:r>
          </w:p>
          <w:p>
            <w:pPr/>
            <w:r>
              <w:rPr/>
              <w:t xml:space="preserve">B)	Types of support services needed by the project:</w:t>
            </w:r>
          </w:p>
          <w:p>
            <w:pPr/>
            <w:r>
              <w:rPr/>
              <w:t xml:space="preserve"/>
            </w:r>
          </w:p>
          <w:p>
            <w:pPr/>
            <w:r>
              <w:rPr/>
              <w:t xml:space="preserve">The GDF has requested UNDP’s support for the following services under all the components of the project (see Annex A.1):</w:t>
            </w:r>
          </w:p>
          <w:p>
            <w:pPr/>
            <w:r>
              <w:rPr/>
              <w:t xml:space="preserve"/>
            </w:r>
          </w:p>
          <w:p>
            <w:pPr/>
            <w:r>
              <w:rPr/>
              <w:t xml:space="preserve">•	Signing programmatic partnership agreements to implement specific tasks of the project, with the possible responsible parties.</w:t>
            </w:r>
          </w:p>
          <w:p>
            <w:pPr/>
            <w:r>
              <w:rPr/>
              <w:t xml:space="preserve">•	Procurement of goods, services and works, including preparation of procurement plans, terms of reference and procurement packages, ensuring procurement process, contracting and contract management, hiring individual consultants and management of consultant activities required for the implementation of the project activities.</w:t>
            </w:r>
          </w:p>
          <w:p>
            <w:pPr/>
            <w:r>
              <w:rPr/>
              <w:t xml:space="preserve">•	Providing financial services, including processing of payments for the project under all technical outputs and project management activities, creating vendors, payment reconciliation, and preparation of expenditure reports to partners and donors.</w:t>
            </w:r>
          </w:p>
          <w:p>
            <w:pPr/>
            <w:r>
              <w:rPr/>
              <w:t xml:space="preserve">•	Identification and/or recruitment of project team members and consultants according to UNDP norms and requirements, other HR related services, to enable implementation of all technical outputs and proper project management.</w:t>
            </w:r>
          </w:p>
          <w:p>
            <w:pPr/>
            <w:r>
              <w:rPr/>
              <w:t xml:space="preserve">•	Providing logistics support services, including duty travel for project team members and consultants, project event management.</w:t>
            </w:r>
          </w:p>
          <w:p>
            <w:pPr/>
            <w:r>
              <w:rPr/>
              <w:t xml:space="preserve">•	Providing equipment and asset management services, including IT equipment maintenance, licenses and ICT support for the project team members and project activities.</w:t>
            </w:r>
          </w:p>
          <w:p>
            <w:pPr/>
            <w:r>
              <w:rPr/>
              <w:t xml:space="preserve">•	Maintaining records of all project-related documentation and preparation of progress reports and financial reports for the project.</w:t>
            </w:r>
          </w:p>
          <w:p>
            <w:pPr/>
            <w:r>
              <w:rPr/>
              <w:t xml:space="preserve">•	Facilitating financial auditing of the project in compliance with UNDP’s financial rules and procedures.</w:t>
            </w:r>
          </w:p>
          <w:p>
            <w:pPr/>
            <w:r>
              <w:rPr/>
              <w:t xml:space="preserve"/>
            </w:r>
          </w:p>
          <w:p>
            <w:pPr/>
            <w:r>
              <w:rPr/>
              <w:t xml:space="preserve">Option analysis was provided as part of the request.</w:t>
            </w:r>
          </w:p>
          <w:p>
            <w:pPr/>
            <w:r>
              <w:rPr/>
              <w:t xml:space="preserve"/>
            </w:r>
          </w:p>
          <w:p>
            <w:pPr/>
            <w:r>
              <w:rPr/>
              <w:t xml:space="preserve">This request for was rejected by GEF on 30 June 2025, necessitating the implementing partner and UNDP to explore other alternatives to expedite the delivery of the project in the next reporting period. In GEF response, reference was made to the recently Council-approved GEF Policy Amendment, that established criteria for accepting a GEF Agency to carry out the dual implementation / executing role and the new HACT, which indicated low risk rating for the implementing partner. There were no changes to the current implementation arrangements in this reporting period as this will be subject to further discussion in the next reporting period. GEF will be notified would minor or major amendment be required.</w:t>
            </w:r>
          </w:p>
        </w:tc>
      </w:tr>
    </w:tbl>
    <w:p>
      <w:pPr>
        <w:sectPr>
          <w:pgSz w:orient="portrait" w:w="11905.511811023622" w:h="16837.79527559055"/>
          <w:pgMar w:top="1440" w:right="1440" w:bottom="1440" w:left="1440" w:header="720" w:footer="720" w:gutter="0"/>
          <w:cols w:num="1" w:space="720"/>
        </w:sectPr>
      </w:pPr>
    </w:p>
    <w:p>
      <w:pPr>
        <w:pStyle w:val="Heading1"/>
      </w:pPr>
      <w:bookmarkStart w:id="11" w:name="_Toc11"/>
      <w:r>
        <w:t>Gender</w:t>
      </w:r>
      <w:bookmarkEnd w:id="11"/>
    </w:p>
    <w:p>
      <w:pPr>
        <w:pStyle w:val="Heading2"/>
      </w:pPr>
      <w:bookmarkStart w:id="12" w:name="_Toc12"/>
      <w:r>
        <w:t>Progress in Advancing Gender Equality and Women's Empowerment</w:t>
      </w:r>
      <w:bookmarkEnd w:id="12"/>
    </w:p>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1) Please review the project's Gender Analysis and Action Plan.  If the document is not attached or an updated Gender Analysis and/or Gender Action Plan is available please upload the document below or send to the Regional Programme Associate to upload in PIMS+. Please note that all projects approved since 1 July 2014 are required to carry out a gender analysis and all projects approved since 1 July 2018 are required to have a gender analysis and action plan.</w:t>
            </w:r>
          </w:p>
        </w:tc>
      </w:tr>
      <w:tr>
        <w:trPr/>
        <w:tc>
          <w:tcPr>
            <w:tcW w:w="10000" w:type="dxa"/>
            <w:noWrap/>
          </w:tcPr>
          <w:p>
            <w:pPr>
              <w:spacing w:before="0" w:after="0"/>
            </w:pPr>
            <w:r>
              <w:rPr/>
              <w:t xml:space="preserve">5673 Wooden Buildings_Annex 9_Gender Analysis_final.docx</w:t>
            </w:r>
          </w:p>
          <w:p>
            <w:pP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gridSpan w:val="1"/>
            <w:noWrap/>
          </w:tcPr>
          <w:p>
            <w:pPr/>
            <w:r>
              <w:rPr>
                <w:b w:val="1"/>
                <w:bCs w:val="1"/>
              </w:rPr>
              <w:t xml:space="preserve">Quantum Gender Marker Rating</w:t>
            </w:r>
          </w:p>
        </w:tc>
      </w:tr>
      <w:tr>
        <w:trPr/>
        <w:tc>
          <w:tcPr>
            <w:tcW w:w="10000" w:type="dxa"/>
            <w:noWrap/>
          </w:tcPr>
          <w:p>
            <w:pPr/>
            <w:r>
              <w:rPr>
                <w:i w:val="1"/>
                <w:iCs w:val="1"/>
              </w:rPr>
              <w:t xml:space="preserve">No Quantum Gender Marker Rating have been found for this project.</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2) Please indicate in which results areas the project is contributing to gender equality (you may select more than one results area, or select not applicable):</w:t>
            </w:r>
          </w:p>
        </w:tc>
      </w:tr>
      <w:tr>
        <w:trPr/>
        <w:tc>
          <w:tcPr>
            <w:tcW w:w="10000" w:type="dxa"/>
            <w:gridSpan w:val="1"/>
            <w:noWrap/>
          </w:tcPr>
          <w:p>
            <w:pPr/>
            <w:r>
              <w:rPr/>
              <w:t xml:space="preserve">Contributing to closing gender gaps in access to and control over resources: No</w:t>
            </w:r>
          </w:p>
        </w:tc>
      </w:tr>
      <w:tr>
        <w:trPr/>
        <w:tc>
          <w:tcPr>
            <w:tcW w:w="10000" w:type="dxa"/>
            <w:gridSpan w:val="1"/>
            <w:noWrap/>
          </w:tcPr>
          <w:p>
            <w:pPr/>
            <w:r>
              <w:rPr/>
              <w:t xml:space="preserve">Improving the participation and decision-making of women in natural resource governance: No</w:t>
            </w:r>
          </w:p>
        </w:tc>
      </w:tr>
      <w:tr>
        <w:trPr/>
        <w:tc>
          <w:tcPr>
            <w:tcW w:w="10000" w:type="dxa"/>
            <w:gridSpan w:val="1"/>
            <w:noWrap/>
          </w:tcPr>
          <w:p>
            <w:pPr/>
            <w:r>
              <w:rPr/>
              <w:t xml:space="preserve">Targeting socio-economic benefits and services for women: Yes</w:t>
            </w:r>
          </w:p>
        </w:tc>
      </w:tr>
      <w:tr>
        <w:trPr/>
        <w:tc>
          <w:tcPr>
            <w:tcW w:w="10000" w:type="dxa"/>
            <w:gridSpan w:val="1"/>
            <w:noWrap/>
          </w:tcPr>
          <w:p>
            <w:pPr/>
            <w:r>
              <w:rPr/>
              <w:t xml:space="preserve">Not applicable: No</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3) Please specify results achieved this reporting period that focus on increasing gender equality and the empowerment of women.</w:t>
            </w:r>
          </w:p>
          <w:p>
            <w:pPr/>
            <w:r>
              <w:rPr>
                <w:b w:val="1"/>
                <w:bCs w:val="1"/>
              </w:rPr>
              <w:t xml:space="preserve"/>
            </w:r>
          </w:p>
          <w:p>
            <w:pPr/>
            <w:r>
              <w:rPr>
                <w:b w:val="1"/>
                <w:bCs w:val="1"/>
              </w:rPr>
              <w:t xml:space="preserve">Please explain how the results reported addressed the different needs of men or women, changed norms, values, and power structures, and/or contributed to transforming or challenging gender inequalities and discrimination.</w:t>
            </w:r>
          </w:p>
        </w:tc>
      </w:tr>
      <w:tr>
        <w:trPr/>
        <w:tc>
          <w:tcPr>
            <w:tcW w:w="10000" w:type="dxa"/>
            <w:gridSpan w:val="1"/>
            <w:noWrap/>
          </w:tcPr>
          <w:p>
            <w:pPr/>
            <w:r>
              <w:rPr/>
              <w:t xml:space="preserve">During this reporting period, the project prioritized engaging with stakeholders through various meetings. While the wood sector in Türkiye is predominantly male, the project actively promoted the involvement of women in its meetings and activities. For instance, the trainings, capacity building and awareness raising activities conducted during 1 July 2024 - 30 June 2025, achieved a 105 female participants which is 21% of all participants.</w:t>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4) Please describe how work to advance gender equality and women's empowerment enhanced the project's environmental and/or resilience outcomes.</w:t>
            </w:r>
          </w:p>
        </w:tc>
      </w:tr>
      <w:tr>
        <w:trPr/>
        <w:tc>
          <w:tcPr>
            <w:tcW w:w="10000" w:type="dxa"/>
            <w:gridSpan w:val="1"/>
            <w:noWrap/>
          </w:tcPr>
          <w:p>
            <w:pPr/>
            <w:r>
              <w:rPr/>
              <w:t xml:space="preserve">The project aims to enhance the inclusion and representation of women in the decision-making processes, governance structures, and production capacities within sectors related to wooden buildings. Awareness and knowledge regarding a gender-responsive approach to climate change and environmental issues will be enhanced among decision-makers, technicians, professionals, entrepreneurs, and other stakeholders engaged with the project. Existing gender-based occupational segregation and discrimination within the construction sector will be challenged, ensuring that such biases are not reproduced within the newly developing wooden building sector. Furthermore, women will be encouraged to enter this sector as agents of change. The gender-based impacts resulting from the enhancement of the wood industry and the development of the wooden building sector on women—including professionals, forest villagers, academics, entrepreneurs, investors, and consumers—will be thoroughly understood, and measures for Gender Equality and Women's Empowerment (GEWE) will be implemented accordingly.</w:t>
            </w:r>
          </w:p>
          <w:p>
            <w:pPr/>
            <w:r>
              <w:rPr/>
              <w:t xml:space="preserve"/>
            </w:r>
          </w:p>
        </w:tc>
      </w:tr>
    </w:tbl>
    <w:p>
      <w:pPr>
        <w:sectPr>
          <w:pgSz w:orient="portrait" w:w="11905.511811023622" w:h="16837.79527559055"/>
          <w:pgMar w:top="1440" w:right="1440" w:bottom="1440" w:left="1440" w:header="720" w:footer="720" w:gutter="0"/>
          <w:cols w:num="1" w:space="720"/>
        </w:sectPr>
      </w:pPr>
    </w:p>
    <w:p>
      <w:pPr>
        <w:pStyle w:val="Heading1"/>
      </w:pPr>
      <w:bookmarkStart w:id="13" w:name="_Toc13"/>
      <w:r>
        <w:t>Risk Management</w:t>
      </w:r>
      <w:bookmarkEnd w:id="13"/>
    </w:p>
    <w:p>
      <w:pPr>
        <w:pStyle w:val="Heading2"/>
      </w:pPr>
      <w:bookmarkStart w:id="14" w:name="_Toc14"/>
      <w:r>
        <w:t>A) Overall Risk Management</w:t>
      </w:r>
      <w:bookmarkEnd w:id="14"/>
    </w:p>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BPPS RTA: Please discuss the risks flagged in the Quantum project Risk Register and the VF Risk Dashboard in PIMS+ with the CO and then provide an assessment of project risk management undertaken during the  reporting period. Document actions, agreed with the CO, to address all project risks in the coming year.</w:t>
            </w:r>
          </w:p>
          <w:p>
            <w:pPr/>
            <w:r>
              <w:rPr>
                <w:b w:val="1"/>
                <w:bCs w:val="1"/>
              </w:rPr>
              <w:t xml:space="preserve"/>
            </w:r>
          </w:p>
        </w:tc>
      </w:tr>
      <w:tr>
        <w:trPr/>
        <w:tc>
          <w:tcPr>
            <w:tcW w:w="10000" w:type="dxa"/>
            <w:gridSpan w:val="1"/>
            <w:noWrap/>
          </w:tcPr>
          <w:p>
            <w:pPr/>
            <w:r>
              <w:rPr/>
              <w:t xml:space="preserve">The project risklog is up to date. The reporting period has confirmed and, in several areas, deepened the risks previously identified in the first year of implementation. The most prominent risks remain those associated with procurement and contracting under the National Implementation Modality, which directly affect the project’s ability to mobilize international expertise, award multi-year contracts, and maintain cost predictability in a volatile economic environment. The capacity assessments undertaken in August 2024 and the cumulative operational experience since project inception have reinforced the view that these risks are systemic rather than incidental. They are tied to legislative and procedural constraints within the General Directorate of Forestry (GDF), rather than short-term administrative bottlenecks.</w:t>
            </w:r>
          </w:p>
          <w:p>
            <w:pPr/>
            <w:r>
              <w:rPr/>
              <w:t xml:space="preserve"/>
            </w:r>
          </w:p>
          <w:p>
            <w:pPr/>
            <w:r>
              <w:rPr/>
              <w:t xml:space="preserve">Financial risk continued to be high due to Türkiye’s macroeconomic conditions. The Turkish Lira’s depreciation and sustained inflation have eroded the purchasing power of the GEF grant and increased bid prices, while the 20 percent tax burden on all GDF procurements adds a further structural cost overrun risk. Without a mechanism to contract in foreign currency or secure tax exemptions, the project remains exposed to exchange rate fluctuations and inflated local currency pricing, which can undermine activity budgets and force downscaling of originally planned outputs.</w:t>
            </w:r>
          </w:p>
          <w:p>
            <w:pPr/>
            <w:r>
              <w:rPr/>
              <w:t xml:space="preserve"/>
            </w:r>
          </w:p>
          <w:p>
            <w:pPr/>
            <w:r>
              <w:rPr/>
              <w:t xml:space="preserve">Delivery risk is also significant for Outcome 1, where the absence of the Chief Technical Advisor and other specialist consultants has delayed the legislative and regulatory reform agenda. In the absence of long-term expertise, there is a risk of fragmented workstreams, duplicated efforts, and missed coordination opportunities with national regulatory bodies. This is compounded by the constraint that GDF cannot issue tenders exceeding a one-year implementation period, which limits the scope of technical assignments and increases administrative transaction costs.</w:t>
            </w:r>
          </w:p>
          <w:p>
            <w:pPr/>
            <w:r>
              <w:rPr/>
              <w:t xml:space="preserve"/>
            </w:r>
          </w:p>
          <w:p>
            <w:pPr/>
            <w:r>
              <w:rPr/>
              <w:t xml:space="preserve">Co-financing risk is assessed as low for this period, as GDF’s investment in wooden building construction has already exceeded Phase I targets. However, there is a linked reputational risk if the project is not seen to add distinct technical value to these investments, particularly in legislative, institutional, and training components.</w:t>
            </w:r>
          </w:p>
          <w:p>
            <w:pPr/>
            <w:r>
              <w:rPr/>
              <w:t xml:space="preserve"/>
            </w:r>
          </w:p>
          <w:p>
            <w:pPr/>
            <w:r>
              <w:rPr/>
              <w:t xml:space="preserve">From a governance perspective, risks remain moderate. Stakeholder coordination has been strong, with regular communication and Steering Committee oversight, but there is a dependency on a small core team within GDF, which, in the absence of additional expert capacity, could become overstretched in the next reporting period.</w:t>
            </w:r>
          </w:p>
          <w:p>
            <w:pPr/>
            <w:r>
              <w:rPr/>
              <w:t xml:space="preserve"/>
            </w:r>
          </w:p>
          <w:p>
            <w:pPr/>
            <w:r>
              <w:rPr/>
              <w:t xml:space="preserve">Risk management during this period has been proactive in identification and documentation but constrained in the ability to fully mitigate the highest-priority risks, given their systemic nature. The decision to submit that proposal, prepared jointly by the project team, GDF, and the Country Office, was itself a significant risk mitigation step, aiming to remove operational barriers and restore implementation momentum. Although unsuccessful (i.e. rejected by GEF), the process provided a clear, evidence-based record of constraints and potential solutions, which will inform future adaptive management measures.</w:t>
            </w:r>
          </w:p>
          <w:p>
            <w:pPr/>
            <w:r>
              <w:rPr/>
              <w:t xml:space="preserve"/>
            </w:r>
          </w:p>
          <w:p>
            <w:pPr/>
            <w:r>
              <w:rPr/>
              <w:t xml:space="preserve">Within the existing modality, the project has sought to break down larger consultancy and procurement packages into smaller, short-term assignments to fit within GDF’s rules. While this has allowed some progress—such as initial national academic contributions to draft legislative content—it has not been able to replace the continuity and depth that longer-term, internationally recruited experts would bring. The project has also maintained close coordination with the Country Office on procurement planning, enabling early identification of potential bottlenecks and the adjustment of activity sequencing to match realistic delivery capacities.</w:t>
            </w:r>
          </w:p>
          <w:p>
            <w:pPr/>
            <w:r>
              <w:rPr/>
              <w:t xml:space="preserve"/>
            </w:r>
          </w:p>
          <w:p>
            <w:pPr/>
            <w:r>
              <w:rPr/>
              <w:t xml:space="preserve">Agreed action:</w:t>
            </w:r>
          </w:p>
          <w:p>
            <w:pPr/>
            <w:r>
              <w:rPr/>
              <w:t xml:space="preserve">I.	In the coming period, the project should accelerate Outcome 1 by contracting multiple small legislative work packages in parallel, maintaining the revision of the Earthquake Building Regulation as the highest priority.</w:t>
            </w:r>
          </w:p>
          <w:p>
            <w:pPr/>
            <w:r>
              <w:rPr/>
              <w:t xml:space="preserve">II.	It should continue to explore the engagement of additional responsible parties, including international organizations, to deliver specialist inputs outside the constraints of GDF’s procurement framework.</w:t>
            </w:r>
          </w:p>
          <w:p>
            <w:pPr/>
            <w:r>
              <w:rPr/>
              <w:t xml:space="preserve">III.	Preparatory work for the financial support mechanism should be completed so that it can be launched swiftly once legislative prerequisites are in place.</w:t>
            </w:r>
          </w:p>
          <w:p>
            <w:pPr/>
            <w:r>
              <w:rPr/>
              <w:t xml:space="preserve"/>
            </w:r>
          </w:p>
          <w:p>
            <w:pPr/>
            <w:r>
              <w:rPr/>
              <w:t xml:space="preserve"/>
            </w:r>
          </w:p>
        </w:tc>
      </w:tr>
    </w:tbl>
    <w:p>
      <w:pPr>
        <w:pStyle w:val="Heading2"/>
      </w:pPr>
      <w:bookmarkStart w:id="15" w:name="_Toc15"/>
      <w:r>
        <w:t>B) SES Implementation</w:t>
      </w:r>
      <w:bookmarkEnd w:id="15"/>
    </w:p>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2b) Provide an update on progress, challenges and outcomes related to stakeholder engagement based on the description in the Stakeholder Engagement Plan or equivalent documentation submitted at CEO Endorsement/Approval.</w:t>
            </w:r>
          </w:p>
        </w:tc>
      </w:tr>
      <w:tr>
        <w:trPr/>
        <w:tc>
          <w:tcPr>
            <w:tcW w:w="10000" w:type="dxa"/>
            <w:gridSpan w:val="1"/>
            <w:noWrap/>
          </w:tcPr>
          <w:p>
            <w:pPr/>
            <w:r>
              <w:rPr/>
              <w:t xml:space="preserve">As outlined in the Development Objective (DO) Progress section of this PIR, the project maintained strong outreach efforts by engaging a broad spectrum of stakeholders. These included representatives from public institutions, private sector companies, students, academic institutions, and non-governmental organizations. This inclusive approach ensured that key actors across the wooden construction ecosystem remained informed and involved throughout the reporting period. A detailed list of all engaged stakeholders is provided in the relevant section of the PIR.</w:t>
            </w:r>
          </w:p>
        </w:tc>
      </w:tr>
    </w:tbl>
    <w:p>
      <w:pPr>
        <w:sectPr>
          <w:pgSz w:orient="portrait" w:w="11905.511811023622" w:h="16837.79527559055"/>
          <w:pgMar w:top="1440" w:right="1440" w:bottom="1440" w:left="1440" w:header="720" w:footer="720" w:gutter="0"/>
          <w:cols w:num="1" w:space="720"/>
        </w:sectPr>
      </w:pPr>
    </w:p>
    <w:p>
      <w:pPr>
        <w:pStyle w:val="Heading1"/>
      </w:pPr>
      <w:bookmarkStart w:id="16" w:name="_Toc16"/>
      <w:r>
        <w:t>Knowledge Management &amp; Communications</w:t>
      </w:r>
      <w:bookmarkEnd w:id="16"/>
    </w:p>
    <w:p>
      <w:pPr>
        <w:spacing w:before="0" w:after="0"/>
      </w:pPr>
      <w:r>
        <w:rPr/>
        <w:t xml:space="preserve"/>
      </w:r>
    </w:p>
    <w:p>
      <w:pPr/>
      <w:r>
        <w:rPr/>
        <w:t xml:space="preserve"> </w:t>
      </w:r>
    </w:p>
    <w:p>
      <w:pPr/>
      <w:r>
        <w:rPr/>
        <w:t xml:space="preserve">The </w:t>
      </w:r>
      <w:r>
        <w:rPr>
          <w:b w:val="1"/>
          <w:bCs w:val="1"/>
        </w:rPr>
        <w:t xml:space="preserve">Project Manager</w:t>
      </w:r>
      <w:r>
        <w:rPr/>
        <w:t xml:space="preserve"> must complete the three questions below.</w:t>
      </w:r>
    </w:p>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1) Please provide progress on the implementation of the project's Knowledge Management approach approved at CEO Endorsement/Approval.  If there is no KM approach/strategy, please comment on how the project is capturing and disseminating best practices and lessons learned.</w:t>
            </w:r>
          </w:p>
          <w:p>
            <w:pPr/>
            <w:r>
              <w:rPr>
                <w:b w:val="1"/>
                <w:bCs w:val="1"/>
              </w:rPr>
              <w:t xml:space="preserve"/>
            </w:r>
          </w:p>
        </w:tc>
      </w:tr>
      <w:tr>
        <w:trPr/>
        <w:tc>
          <w:tcPr>
            <w:tcW w:w="10000" w:type="dxa"/>
            <w:gridSpan w:val="1"/>
            <w:noWrap/>
          </w:tcPr>
          <w:p>
            <w:pPr/>
            <w:r>
              <w:rPr/>
              <w:t xml:space="preserve">The project successfully produced a public service announcement video on wooden buildings during this PIR period, and its webpage is now active. To ensure that the knowledge generated by the project reaches its intended audiences, such as the general public, government institutions, architects, engineers, and other professionals,the project is also publishing training videos, photos, and other resources through this platform.</w:t>
            </w:r>
          </w:p>
          <w:p>
            <w:pPr/>
            <w:r>
              <w:rPr/>
              <w:t xml:space="preserve"/>
            </w:r>
          </w:p>
          <w:p>
            <w:pPr/>
            <w:r>
              <w:rPr/>
              <w:t xml:space="preserve">In addition, key project activities and events have been widely shared through social media, the project website, and UNDP’s official website and accounts. These include:</w:t>
            </w:r>
          </w:p>
          <w:p>
            <w:pPr/>
            <w:r>
              <w:rPr/>
              <w:t xml:space="preserve"/>
            </w:r>
          </w:p>
          <w:p>
            <w:pPr/>
            <w:r>
              <w:rPr/>
              <w:t xml:space="preserve">Adana Training for Postgraduate Students (26–28 November 2024)</w:t>
            </w:r>
          </w:p>
          <w:p>
            <w:pPr/>
            <w:r>
              <w:rPr/>
              <w:t xml:space="preserve"/>
            </w:r>
          </w:p>
          <w:p>
            <w:pPr/>
            <w:r>
              <w:rPr/>
              <w:t xml:space="preserve">New Legislation for Wooden Structures – Training and Panel (3 May 2025)</w:t>
            </w:r>
          </w:p>
          <w:p>
            <w:pPr/>
            <w:r>
              <w:rPr/>
              <w:t xml:space="preserve"/>
            </w:r>
          </w:p>
          <w:p>
            <w:pPr/>
            <w:r>
              <w:rPr/>
              <w:t xml:space="preserve">Basic Wooden Training – Istanbul (17, 24, and 31 May 2025)</w:t>
            </w:r>
          </w:p>
          <w:p>
            <w:pPr/>
            <w:r>
              <w:rPr/>
              <w:t xml:space="preserve"/>
            </w:r>
          </w:p>
          <w:p>
            <w:pPr/>
            <w:r>
              <w:rPr/>
              <w:t xml:space="preserve">Certification Training for Raw Material Suppliers (2 June 2025)</w:t>
            </w:r>
          </w:p>
          <w:p>
            <w:pPr/>
            <w:r>
              <w:rPr/>
              <w:t xml:space="preserve"/>
            </w:r>
          </w:p>
          <w:p>
            <w:pPr/>
            <w:r>
              <w:rPr/>
              <w:t xml:space="preserve">To further support knowledge dissemination, the project will also publish three handbooks tailored for different target groups: one for civil engineers, one for architects, and one for craftsmen. These handbooks will be made available through the project’s website in the upcoming period.</w:t>
            </w:r>
          </w:p>
          <w:p>
            <w:pPr/>
            <w:r>
              <w:rPr/>
              <w:t xml:space="preserve"/>
            </w:r>
          </w:p>
          <w:p>
            <w:pPr/>
            <w:r>
              <w:rPr/>
              <w:t xml:space="preserve">These efforts aim to ensure broad accessibility and practical use of the knowledge produced under the project.</w:t>
            </w:r>
          </w:p>
          <w:p>
            <w:pPr/>
            <w:r>
              <w:rPr/>
              <w:t xml:space="preserve"/>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2) Please provide URLs specific to this project in the relevant field below.  Please categorize the URLs appropriately (for example: project websites, social media sites, media coverage, etc.)</w:t>
            </w:r>
          </w:p>
        </w:tc>
      </w:tr>
      <w:tr>
        <w:trPr/>
        <w:tc>
          <w:tcPr>
            <w:tcW w:w="10000" w:type="dxa"/>
            <w:gridSpan w:val="1"/>
            <w:noWrap/>
          </w:tcPr>
          <w:p>
            <w:pPr/>
            <w:r>
              <w:rPr/>
              <w:t xml:space="preserve">Inception Workshop Posts (2023.12.08)</w:t>
            </w:r>
          </w:p>
          <w:p>
            <w:pPr/>
            <w:r>
              <w:rPr/>
              <w:t xml:space="preserve">https://twitter.com/undpturkiye/status/1735226442793746484</w:t>
            </w:r>
          </w:p>
          <w:p>
            <w:pPr/>
            <w:r>
              <w:rPr/>
              <w:t xml:space="preserve">https://twitter.com/undpturkiye/status/1735248346950803593</w:t>
            </w:r>
          </w:p>
          <w:p>
            <w:pPr/>
            <w:r>
              <w:rPr/>
              <w:t xml:space="preserve">https://www.linkedin.com/feed/update/urn:li:activity:7140995450668589056</w:t>
            </w:r>
          </w:p>
          <w:p>
            <w:pPr/>
            <w:r>
              <w:rPr/>
              <w:t xml:space="preserve">https://www.facebook.com/undpturkiye/posts/pfbid033Tu2RBASHNx3BZRNyp8ZFLqiUoJDBQshpKggMses5edFJq7JYB4VVeajZSJQsF4Nl</w:t>
            </w:r>
          </w:p>
          <w:p>
            <w:pPr/>
            <w:r>
              <w:rPr/>
              <w:t xml:space="preserve">https://www.instagram.com/p/C01EARRMA_9/?img_index=1</w:t>
            </w:r>
          </w:p>
          <w:p>
            <w:pPr/>
            <w:r>
              <w:rPr/>
              <w:t xml:space="preserve"/>
            </w:r>
          </w:p>
          <w:p>
            <w:pPr/>
            <w:r>
              <w:rPr/>
              <w:t xml:space="preserve">Şanlıurfa Training for GDF Civil Engineers &amp; Architects (2024.05.24)</w:t>
            </w:r>
          </w:p>
          <w:p>
            <w:pPr/>
            <w:r>
              <w:rPr/>
              <w:t xml:space="preserve">FB:</w:t>
            </w:r>
          </w:p>
          <w:p>
            <w:pPr/>
            <w:r>
              <w:rPr/>
              <w:t xml:space="preserve">https://www.facebook.com/plugins/post.php?href=https%3A%2F%2Fwww.facebook.com%2Fundpturkiye%2Fposts%2Fpfbid03SgQSc1g38dYMsEmY7pxLWxvTsdSkNZwY8WTy1BFQhJXwfanWcshDWFHZQ4nBXggl</w:t>
            </w:r>
          </w:p>
          <w:p>
            <w:pPr/>
            <w:r>
              <w:rPr/>
              <w:t xml:space="preserve">LI:</w:t>
            </w:r>
          </w:p>
          <w:p>
            <w:pPr/>
            <w:r>
              <w:rPr/>
              <w:t xml:space="preserve">https://www.linkedin.com/posts/undp-turkiye_ah%C5%9Fap-binalar-i%CC%87n%C5%9Fa-a%C5%9Famas%C4%B1nda-daha-activity-7199668815725543424-f8yJ?utm_source=share&amp;utm_medium=member_desktop</w:t>
            </w:r>
          </w:p>
          <w:p>
            <w:pPr/>
            <w:r>
              <w:rPr/>
              <w:t xml:space="preserve">X:</w:t>
            </w:r>
          </w:p>
          <w:p>
            <w:pPr/>
            <w:r>
              <w:rPr/>
              <w:t xml:space="preserve">https://x.com/undpturkiye/status/1793902038855877021</w:t>
            </w:r>
          </w:p>
          <w:p>
            <w:pPr/>
            <w:r>
              <w:rPr/>
              <w:t xml:space="preserve">https://x.com/undpturkiye/status/1793902045495455761</w:t>
            </w:r>
          </w:p>
          <w:p>
            <w:pPr/>
            <w:r>
              <w:rPr/>
              <w:t xml:space="preserve"/>
            </w:r>
          </w:p>
          <w:p>
            <w:pPr/>
            <w:r>
              <w:rPr/>
              <w:t xml:space="preserve">Adana Training for Post Graduate Students (2024.11.26-28):</w:t>
            </w:r>
          </w:p>
          <w:p>
            <w:pPr/>
            <w:r>
              <w:rPr/>
              <w:t xml:space="preserve">GDF Web page: https://www.ogm.gov.tr/tr/haberler/enerji-verimli-dusuk-maliyetli-ahsap-binalarin-tesvik-edilmesi-projesi%E2%80%99nde-egitimler-devam-ediyor</w:t>
            </w:r>
          </w:p>
          <w:p>
            <w:pPr/>
            <w:r>
              <w:rPr/>
              <w:t xml:space="preserve"/>
            </w:r>
          </w:p>
          <w:p>
            <w:pPr/>
            <w:r>
              <w:rPr/>
              <w:t xml:space="preserve">G.Antep KMaras - Mechanical Engineers GDF (2025.05.08):</w:t>
            </w:r>
          </w:p>
          <w:p>
            <w:pPr/>
            <w:r>
              <w:rPr/>
              <w:t xml:space="preserve">Web: https://www.ahsapyapi.org/gaziantepte-orman-genel-mudurlugu-makine-ikmal-sube-mudurlerine-bilgilendirme-toplantisi/</w:t>
            </w:r>
          </w:p>
          <w:p>
            <w:pPr/>
            <w:r>
              <w:rPr/>
              <w:t xml:space="preserve"/>
            </w:r>
          </w:p>
          <w:p>
            <w:pPr/>
            <w:r>
              <w:rPr/>
              <w:t xml:space="preserve">New Legislation for Wooden Structures Training and Panel (2025.05.03):</w:t>
            </w:r>
          </w:p>
          <w:p>
            <w:pPr/>
            <w:r>
              <w:rPr/>
              <w:t xml:space="preserve">https://x.com/undpturkiye/status/1922621426693017622</w:t>
            </w:r>
          </w:p>
          <w:p>
            <w:pPr/>
            <w:r>
              <w:rPr/>
              <w:t xml:space="preserve">https://x.com/undpturkiye/status/1922621432619581898</w:t>
            </w:r>
          </w:p>
          <w:p>
            <w:pPr/>
            <w:r>
              <w:rPr/>
              <w:t xml:space="preserve"/>
            </w:r>
          </w:p>
          <w:p>
            <w:pPr/>
            <w:r>
              <w:rPr/>
              <w:t xml:space="preserve">https://x.com/undpturkiye/status/1922622274609254911</w:t>
            </w:r>
          </w:p>
          <w:p>
            <w:pPr/>
            <w:r>
              <w:rPr/>
              <w:t xml:space="preserve">https://x.com/undpturkiye/status/1922622280225391098</w:t>
            </w:r>
          </w:p>
          <w:p>
            <w:pPr/>
            <w:r>
              <w:rPr/>
              <w:t xml:space="preserve">https://www.linkedin.com/feed/update/urn:li:activity:7328389406468292610</w:t>
            </w:r>
          </w:p>
          <w:p>
            <w:pPr/>
            <w:r>
              <w:rPr/>
              <w:t xml:space="preserve">https://www.facebook.com/share/p/16Y1aagnnZ/</w:t>
            </w:r>
          </w:p>
          <w:p>
            <w:pPr/>
            <w:r>
              <w:rPr/>
              <w:t xml:space="preserve">https://www.instagram.com/p/DJokU49sK_K/?img_index=1</w:t>
            </w:r>
          </w:p>
          <w:p>
            <w:pPr/>
            <w:r>
              <w:rPr/>
              <w:t xml:space="preserve">Web: 	i. Haberler Ahşap Yapılarda Mevzuat Bilgilendirme Toplantısı</w:t>
            </w:r>
          </w:p>
          <w:p>
            <w:pPr/>
            <w:r>
              <w:rPr/>
              <w:t xml:space="preserve">ii. https://www.ahsapyapi.org/ahsap-yapilarda-mevzuat-bilgilendirme-toplantisi-gerceklestirildi/</w:t>
            </w:r>
          </w:p>
          <w:p>
            <w:pPr/>
            <w:r>
              <w:rPr/>
              <w:t xml:space="preserve"/>
            </w:r>
          </w:p>
          <w:p>
            <w:pPr/>
            <w:r>
              <w:rPr/>
              <w:t xml:space="preserve">Basic Wooden Training – IST (2025.05.17-24-31)</w:t>
            </w:r>
          </w:p>
          <w:p>
            <w:pPr/>
            <w:r>
              <w:rPr/>
              <w:t xml:space="preserve">Web: Temel Ahşap Eğitiminin İlki Düzce’de Gerçekleştirildi – Ahşap Yapı</w:t>
            </w:r>
          </w:p>
          <w:p>
            <w:pPr/>
            <w:r>
              <w:rPr/>
              <w:t xml:space="preserve">Web: https://www.ahsap.org.tr/_files/ugd/3b2e39_13cd9cc9fdca44398fdc1f23138c28a4.pdf</w:t>
            </w:r>
          </w:p>
          <w:p>
            <w:pPr/>
            <w:r>
              <w:rPr/>
              <w:t xml:space="preserve"/>
            </w:r>
          </w:p>
          <w:p>
            <w:pPr/>
            <w:r>
              <w:rPr/>
              <w:t xml:space="preserve">Certification Training for Raw Material Suppliers (2025.06.02)</w:t>
            </w:r>
          </w:p>
          <w:p>
            <w:pPr/>
            <w:r>
              <w:rPr/>
              <w:t xml:space="preserve">Web: https://www.ogm.gov.tr/tr/haberler/enerji-verimli-dusuk-maliyetli-ahsap-binalarin-tesvik-edilmesi-projesi-kapsaminda-uretici-bilgilendirme-toplantisi-ankara</w:t>
            </w:r>
          </w:p>
          <w:p>
            <w:pPr/>
            <w:r>
              <w:rPr/>
              <w:t xml:space="preserve"/>
            </w:r>
          </w:p>
          <w:p>
            <w:pPr/>
            <w:r>
              <w:rPr/>
              <w:t xml:space="preserve"/>
            </w:r>
          </w:p>
          <w:p>
            <w:pPr/>
            <w:r>
              <w:rPr/>
              <w:t xml:space="preserve"/>
            </w:r>
          </w:p>
          <w:p>
            <w:pPr/>
            <w:r>
              <w:rPr/>
              <w:t xml:space="preserve"/>
            </w:r>
          </w:p>
          <w:p>
            <w:pPr/>
            <w:r>
              <w:rPr/>
              <w:t xml:space="preserve"/>
            </w:r>
          </w:p>
          <w:p>
            <w:pPr/>
            <w:r>
              <w:rPr/>
              <w:t xml:space="preserve"/>
            </w:r>
          </w:p>
        </w:tc>
      </w:tr>
    </w:tbl>
    <w:tbl>
      <w:tblGrid>
        <w:gridCol w:w="10000" w:type="dxa"/>
      </w:tblGrid>
      <w:tblPr>
        <w:tblW w:w="0" w:type="auto"/>
        <w:tblLayout w:type="autofit"/>
        <w:tblCellMar>
          <w:top w:w="20" w:type="dxa"/>
          <w:left w:w="20" w:type="dxa"/>
          <w:right w:w="20" w:type="dxa"/>
          <w:bottom w:w="20" w:type="dxa"/>
        </w:tblCellMar>
        <w:tblBorders>
          <w:top w:val="single" w:sz="5" w:color="000000"/>
          <w:left w:val="single" w:sz="5" w:color="000000"/>
          <w:right w:val="single" w:sz="5" w:color="000000"/>
          <w:bottom w:val="single" w:sz="5" w:color="000000"/>
          <w:insideH w:val="single" w:sz="5" w:color="000000"/>
          <w:insideV w:val="single" w:sz="5" w:color="000000"/>
        </w:tblBorders>
      </w:tblPr>
      <w:tr>
        <w:trPr/>
        <w:tc>
          <w:tcPr>
            <w:tcW w:w="10000" w:type="dxa"/>
            <w:shd w:val="clear" w:fill="#D9D9D9"/>
            <w:noWrap/>
          </w:tcPr>
          <w:p>
            <w:pPr/>
            <w:r>
              <w:rPr>
                <w:b w:val="1"/>
                <w:bCs w:val="1"/>
              </w:rPr>
              <w:t xml:space="preserve">3) In the PIR platform, please upload any supporting files, including the project's Communications Strategy, photos, videos, stories and other communication/knowledge materials.</w:t>
            </w:r>
          </w:p>
        </w:tc>
      </w:tr>
      <w:tr>
        <w:trPr/>
        <w:tc>
          <w:tcPr>
            <w:tcW w:w="10000" w:type="dxa"/>
            <w:noWrap/>
          </w:tcPr>
          <w:p>
            <w:pPr>
              <w:spacing w:before="0" w:after="0"/>
            </w:pPr>
            <w:r>
              <w:rPr/>
              <w:t xml:space="preserve">00001.jpg</w:t>
            </w:r>
          </w:p>
          <w:p>
            <w:pPr>
              <w:spacing w:before="0" w:after="0"/>
            </w:pPr>
            <w:r>
              <w:rPr/>
              <w:t xml:space="preserve">00002.jpg</w:t>
            </w:r>
          </w:p>
          <w:p>
            <w:pPr>
              <w:spacing w:before="0" w:after="0"/>
            </w:pPr>
            <w:r>
              <w:rPr/>
              <w:t xml:space="preserve">0002.jpg</w:t>
            </w:r>
          </w:p>
          <w:p>
            <w:pPr>
              <w:spacing w:before="0" w:after="0"/>
            </w:pPr>
            <w:r>
              <w:rPr/>
              <w:t xml:space="preserve">001.jpg</w:t>
            </w:r>
          </w:p>
          <w:p>
            <w:pPr>
              <w:spacing w:before="0" w:after="0"/>
            </w:pPr>
            <w:r>
              <w:rPr/>
              <w:t xml:space="preserve">002.jpeg</w:t>
            </w:r>
          </w:p>
          <w:p>
            <w:pPr>
              <w:spacing w:before="0" w:after="0"/>
            </w:pPr>
            <w:r>
              <w:rPr/>
              <w:t xml:space="preserve">004.jpg</w:t>
            </w:r>
          </w:p>
          <w:p>
            <w:pPr>
              <w:spacing w:before="0" w:after="0"/>
            </w:pPr>
            <w:r>
              <w:rPr/>
              <w:t xml:space="preserve">FOTORA~3.JPG</w:t>
            </w:r>
          </w:p>
          <w:p>
            <w:pPr>
              <w:spacing w:before="0" w:after="0"/>
            </w:pPr>
            <w:r>
              <w:rPr/>
              <w:t xml:space="preserve">IMG_1290.HEIC</w:t>
            </w:r>
          </w:p>
          <w:p>
            <w:pPr>
              <w:spacing w:before="0" w:after="0"/>
            </w:pPr>
            <w:r>
              <w:rPr/>
              <w:t xml:space="preserve">IMG_8077.JPG</w:t>
            </w:r>
          </w:p>
          <w:p>
            <w:pPr>
              <w:spacing w:before="0" w:after="0"/>
            </w:pPr>
            <w:r>
              <w:rPr/>
              <w:t xml:space="preserve">IMG_8132.JPG</w:t>
            </w:r>
          </w:p>
          <w:p>
            <w:pPr>
              <w:spacing w:before="0" w:after="0"/>
            </w:pPr>
            <w:r>
              <w:rPr/>
              <w:t xml:space="preserve">IMG_8148.JPG</w:t>
            </w:r>
          </w:p>
          <w:p>
            <w:pPr>
              <w:spacing w:before="0" w:after="0"/>
            </w:pPr>
            <w:r>
              <w:rPr/>
              <w:t xml:space="preserve">IMG_8241.JPG</w:t>
            </w:r>
          </w:p>
          <w:p>
            <w:pPr>
              <w:spacing w:before="0" w:after="0"/>
            </w:pPr>
            <w:r>
              <w:rPr/>
              <w:t xml:space="preserve">IMG_8290.JPG</w:t>
            </w:r>
          </w:p>
          <w:p>
            <w:pPr>
              <w:spacing w:before="0" w:after="0"/>
            </w:pPr>
            <w:r>
              <w:rPr/>
              <w:t xml:space="preserve">IMG_8345.JPG</w:t>
            </w:r>
          </w:p>
          <w:p>
            <w:pPr>
              <w:spacing w:before="0" w:after="0"/>
            </w:pPr>
            <w:r>
              <w:rPr/>
              <w:t xml:space="preserve">WhatsApp Image 2025-05-03 at 17.46.25_d5bb4754.jpg</w:t>
            </w:r>
          </w:p>
          <w:p>
            <w:pPr/>
          </w:p>
        </w:tc>
      </w:tr>
    </w:tbl>
    <w:p>
      <w:pPr>
        <w:sectPr>
          <w:pgSz w:orient="portrait" w:w="11905.511811023622" w:h="16837.79527559055"/>
          <w:pgMar w:top="1440" w:right="1440" w:bottom="1440" w:left="1440" w:header="720" w:footer="720" w:gutter="0"/>
          <w:cols w:num="1" w:space="720"/>
        </w:sectPr>
      </w:pPr>
    </w:p>
    <w:p>
      <w:pPr>
        <w:pStyle w:val="Heading1"/>
      </w:pPr>
      <w:bookmarkStart w:id="17" w:name="_Toc17"/>
      <w:r>
        <w:t>Annex - Ratings Definitions</w:t>
      </w:r>
      <w:bookmarkEnd w:id="17"/>
    </w:p>
    <w:p>
      <w:pPr/>
      <w:r>
        <w:rPr>
          <w:b w:val="1"/>
          <w:bCs w:val="1"/>
        </w:rPr>
        <w:t xml:space="preserve">Development Objective Progress Ratings Definitions</w:t>
      </w:r>
    </w:p>
    <w:p>
      <w:pPr/>
      <w:r>
        <w:rPr/>
        <w:t xml:space="preserve">(HS) Highly Satisfactory: Project is on track to exceed its end-of-project targets by project closure. The project can be presented as 'outstanding practice'.</w:t>
      </w:r>
    </w:p>
    <w:p>
      <w:pPr/>
      <w:r>
        <w:rPr/>
        <w:t xml:space="preserve">(S) Satisfactory: Project is on track to achieve its end-of-project targets by project closure and any minor challenges are being addressed through an adaptive management plan. The project can be presented as 'good practice'.</w:t>
      </w:r>
    </w:p>
    <w:p>
      <w:pPr/>
      <w:r>
        <w:rPr/>
        <w:t xml:space="preserve">(MS) Moderately Satisfactory: Project is on track to achieve its end-of-project targets by project closure and minor challenges can be addressed if an adaptive management plan is promptly put in place.</w:t>
      </w:r>
    </w:p>
    <w:p>
      <w:pPr/>
      <w:r>
        <w:rPr/>
        <w:t xml:space="preserve">(MU) Moderately Unsatisfactory: Project is off track and is expected to only partially achieve its end-of-project targets by project closure. Project results might still be achieved by project closure if adaptive management is undertaken immediately.</w:t>
      </w:r>
    </w:p>
    <w:p>
      <w:pPr/>
      <w:r>
        <w:rPr/>
        <w:t xml:space="preserve">(U) Unsatisfactory: Project is off track and is expected to only partially achieve its end-of-project targets by project closure. Project results might be partially achieved by project closure if major adaptive management is undertaken immediately.</w:t>
      </w:r>
    </w:p>
    <w:p>
      <w:pPr/>
      <w:r>
        <w:rPr/>
        <w:t xml:space="preserve">(HU) Highly Unsatisfactory: Project is off track and is not expected to achieve its end-of-project targets by project closure and adaptive management is not expected to materialize.</w:t>
      </w:r>
    </w:p>
    <w:p/>
    <w:p>
      <w:pPr/>
      <w:r>
        <w:rPr>
          <w:b w:val="1"/>
          <w:bCs w:val="1"/>
        </w:rPr>
        <w:t xml:space="preserve">Implementation Progress Ratings Definitions</w:t>
      </w:r>
    </w:p>
    <w:p>
      <w:pPr/>
      <w:r>
        <w:rPr/>
        <w:t xml:space="preserve">(HS) Highly Satisfactory: Implementation is exceeding expectations. Implementation of all outputs/activities is fully on track, proceeding as planned, The implementation of the project can be presented as 'outstanding practice'.</w:t>
      </w:r>
    </w:p>
    <w:p>
      <w:pPr/>
      <w:r>
        <w:rPr/>
        <w:t xml:space="preserve">(S) Satisfactory: Implementation is proceeding as planned with minor challenges that are being addressed. Implementation of all outputs/activities is on track with minor deviations The implementation of the project can be presented as 'good practice'. </w:t>
      </w:r>
    </w:p>
    <w:p>
      <w:pPr/>
      <w:r>
        <w:rPr/>
        <w:t xml:space="preserve">(MS) Moderately Satisfactory: Implementation is proceeding as planned with minor challenges that have not yet been addressed. Implementation of most outputs/activities is on track with minor deviations.</w:t>
      </w:r>
    </w:p>
    <w:p>
      <w:pPr/>
      <w:r>
        <w:rPr/>
        <w:t xml:space="preserve">(MU) Moderately Unsatisfactory: Implementation is not proceeding as planned and faces implementation challenges. Implementation of many outputs/activities is off track Implementation progress could be improved if adaptive management is undertaken immediately.</w:t>
      </w:r>
    </w:p>
    <w:p>
      <w:pPr/>
      <w:r>
        <w:rPr/>
        <w:t xml:space="preserve">(U) Unsatisfactory: Implementation is not proceeding as planned and faces major implementation challenges. Implementation of most outputs/activities is off track.</w:t>
      </w:r>
    </w:p>
    <w:p>
      <w:pPr/>
      <w:r>
        <w:rPr/>
        <w:t xml:space="preserve">(HU) Highly Unsatisfactory: Implementation is seriously under-performing. Implementation of all outputs/activities is severely off track.</w:t>
      </w:r>
    </w:p>
    <w:sectPr>
      <w:pgSz w:orient="portrait" w:w="11905.511811023622" w:h="16837.79527559055"/>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end"/>
    </w:pPr>
    <w:r>
      <w:t xml:space="preserve">Page </w:t>
    </w:r>
    <w:r>
      <w:fldChar w:fldCharType="begin"/>
    </w:r>
    <w:r>
      <w:instrText xml:space="preserve">PAGE</w:instrText>
    </w:r>
    <w:r>
      <w:fldChar w:fldCharType="separate"/>
    </w:r>
    <w:r>
      <w:fldChar w:fldCharType="end"/>
    </w:r>
    <w:r>
      <w:t xml:space="preserve"> of </w:t>
    </w:r>
    <w:r>
      <w:fldChar w:fldCharType="begin"/>
    </w:r>
    <w:r>
      <w:instrText xml:space="preserve">NUMPAGES</w:instrText>
    </w:r>
    <w:r>
      <w:fldChar w:fldCharType="separate"/>
    </w:r>
    <w:r>
      <w:fldChar w:fldCharType="end"/>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end"/>
    </w:pPr>
    <w:r>
      <w:t xml:space="preserve">2025 Project Implementation Report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nsid w:val="D37130BB"/>
    <w:multiLevelType w:val="multilevel"/>
    <w:lvl w:ilvl="0">
      <w:start w:val="1"/>
      <w:numFmt w:val="upperLetter"/>
      <w:pStyle w:val="Heading1"/>
      <w:suff w:val="tab"/>
      <w:lvlText w:val="%1."/>
      <w:pPr>
        <w:tabs>
          <w:tab w:val="num"/>
        </w:tabs>
        <w:ind/>
      </w:pPr>
      <w:rPr>
        <w:rFonts/>
      </w:rPr>
    </w:lvl>
  </w:abstractNum>
  <w:num w:numId="1">
    <w:abstractNumId w:val="1"/>
  </w:num>
</w:numbering>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bookFoldPrinting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color w:val="000000"/>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 w:type="paragraph" w:styleId="Heading1">
    <w:link w:val="Heading1Char"/>
    <w:name w:val="heading 1"/>
    <w:basedOn w:val="Normal"/>
    <w:pPr>
      <w:numPr>
        <w:numId w:val="1"/>
        <w:ilvl w:val="0"/>
      </w:numPr>
      <w:outlineLvl w:val="0"/>
    </w:pPr>
    <w:rPr>
      <w:sz w:val="28"/>
      <w:szCs w:val="28"/>
      <w:b w:val="1"/>
      <w:bCs w:val="1"/>
    </w:rPr>
  </w:style>
  <w:style w:type="paragraph" w:styleId="Heading2">
    <w:link w:val="Heading2Char"/>
    <w:name w:val="heading 2"/>
    <w:basedOn w:val="Normal"/>
    <w:pPr>
      <w:spacing w:before="400"/>
    </w:pPr>
    <w:rPr>
      <w:sz w:val="24"/>
      <w:szCs w:val="24"/>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section_image2.jp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section_image1.gif"/><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styles" Target="styles.xml"/><Relationship Id="rId6" Type="http://schemas.openxmlformats.org/officeDocument/2006/relationships/fontTable" Target="fontTable.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https://www.thegef.org/sites/default/files/documents/2022-04/GEF_R.08_31_GEF-8_Policy_Directions.pdf" TargetMode="External"/><Relationship Id="rId4" Type="http://schemas.openxmlformats.org/officeDocument/2006/relationships/theme" Target="theme/theme1.xml"/><Relationship Id="rId9" Type="http://schemas.openxmlformats.org/officeDocument/2006/relationships/hyperlink" Target="https://www.thegef.org/council-meeting-documents/guidelines-project-and-program-cycle-policy-2020-update"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B0578 - Turkiye - Ankara</OfficeCountry>
    <DocumentStatus xmlns="d9cf0e28-81d2-4dc7-8b10-820d80ed680d">Approved</DocumentStatus>
    <DocCoverageEndDate xmlns="d9cf0e28-81d2-4dc7-8b10-820d80ed680d">2029-06-30T04:00:00+00:00</DocCoverageEndDate>
    <TaxCatchAll xmlns="e91d5986-7c29-4ed1-8a54-b8fb378ed474" xsi:nil="true"/>
    <EventDate xmlns="d9cf0e28-81d2-4dc7-8b10-820d80ed680d" xsi:nil="true"/>
    <ProjectDocumentTypes xmlns="d9cf0e28-81d2-4dc7-8b10-820d80ed680d" xsi:nil="true"/>
    <FunctionalArea xmlns="d9cf0e28-81d2-4dc7-8b10-820d80ed680d">Programme and Project</FunctionalArea>
    <FileNameDescription xmlns="d9cf0e28-81d2-4dc7-8b10-820d80ed680d">PIR 2025</FileNameDescription>
    <ProjectNumber xmlns="d9cf0e28-81d2-4dc7-8b10-820d80ed680d">01000614</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2024-07-01T04:00:00+00:00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8A161079-FDFA-4D0A-8D41-E9346AAF964F}"/>
</file>

<file path=customXml/itemProps2.xml><?xml version="1.0" encoding="utf-8"?>
<ds:datastoreItem xmlns:ds="http://schemas.openxmlformats.org/officeDocument/2006/customXml" ds:itemID="{A5D9FFB7-BFDC-43F6-96FF-00757B5A9986}"/>
</file>

<file path=customXml/itemProps3.xml><?xml version="1.0" encoding="utf-8"?>
<ds:datastoreItem xmlns:ds="http://schemas.openxmlformats.org/officeDocument/2006/customXml" ds:itemID="{3C555D92-BC27-43A6-A588-F4473A12F672}"/>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PIR 2025</dc:title>
  <dc:subject/>
  <dc:creator/>
  <cp:keywords/>
  <dc:description/>
  <cp:lastModifiedBy/>
  <dcterms:created xsi:type="dcterms:W3CDTF">2025-08-15T11:15:33Z</dcterms:created>
  <dcterms:modified xsi:type="dcterms:W3CDTF">2025-08-15T11:15:33Z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